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F52FE">
        <w:rPr>
          <w:rFonts w:ascii="Palatino Linotype" w:hAnsi="Palatino Linotype" w:cs="Arial"/>
          <w:b/>
          <w:sz w:val="24"/>
          <w:szCs w:val="24"/>
        </w:rPr>
        <w:t>04</w:t>
      </w:r>
      <w:r w:rsidR="0065467C">
        <w:rPr>
          <w:rFonts w:ascii="Palatino Linotype" w:hAnsi="Palatino Linotype" w:cs="Arial"/>
          <w:b/>
          <w:sz w:val="24"/>
          <w:szCs w:val="24"/>
        </w:rPr>
        <w:t>372</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82452E" w:rsidRPr="00072966" w:rsidRDefault="0082452E" w:rsidP="00E34F08">
      <w:pPr>
        <w:spacing w:after="0" w:line="360" w:lineRule="auto"/>
        <w:jc w:val="both"/>
        <w:rPr>
          <w:rFonts w:ascii="Palatino Linotype" w:hAnsi="Palatino Linotype" w:cs="Arial"/>
          <w:sz w:val="24"/>
          <w:szCs w:val="24"/>
        </w:rPr>
      </w:pPr>
    </w:p>
    <w:p w:rsidR="0046491C" w:rsidRPr="009A5396" w:rsidRDefault="0046491C" w:rsidP="00E34F08">
      <w:pPr>
        <w:spacing w:after="0" w:line="360" w:lineRule="auto"/>
        <w:jc w:val="both"/>
        <w:rPr>
          <w:rFonts w:ascii="Palatino Linotype" w:hAnsi="Palatino Linotype" w:cs="Arial"/>
          <w:b/>
          <w:sz w:val="24"/>
          <w:szCs w:val="24"/>
        </w:rPr>
      </w:pPr>
      <w:r w:rsidRPr="009A5396">
        <w:rPr>
          <w:rFonts w:ascii="Palatino Linotype" w:hAnsi="Palatino Linotype" w:cs="Arial"/>
          <w:b/>
          <w:sz w:val="24"/>
          <w:szCs w:val="24"/>
        </w:rPr>
        <w:t>Líneas argumentativas:</w:t>
      </w:r>
    </w:p>
    <w:p w:rsidR="00902248" w:rsidRPr="009A5396" w:rsidRDefault="00902248"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La falta de impugnación respecto al resto de los requerimientos que no fueron manifestados en el recurso de revisión, no debe entenderse como actos consentidos.</w:t>
      </w:r>
    </w:p>
    <w:p w:rsidR="00902248" w:rsidRPr="009A5396" w:rsidRDefault="00902248"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La figura de actos consentidos no debe ser invocada en el derecho humano fundamental de acceder a la información pública gubernamental.</w:t>
      </w:r>
    </w:p>
    <w:p w:rsidR="0001046D" w:rsidRPr="009A5396" w:rsidRDefault="0001046D"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El Órgano Garante del derecho de acceso a la información pública no debe imponerles las cargas formales del proceso jurisdiccional a los particulares.</w:t>
      </w:r>
    </w:p>
    <w:p w:rsidR="0046491C" w:rsidRPr="009A5396" w:rsidRDefault="0046491C"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Lo que este Órgano Garante realice en materia de suplencia de la queja no afecta la igualdad de las partes sino procura el cumplimiento de los deberes de protección del derecho humano.</w:t>
      </w:r>
    </w:p>
    <w:p w:rsidR="0046491C" w:rsidRPr="009A5396" w:rsidRDefault="0046491C"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9A5396" w:rsidRDefault="0082452E" w:rsidP="00E34F08">
      <w:pPr>
        <w:spacing w:after="0" w:line="36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9A5396" w:rsidRDefault="009A5396" w:rsidP="00E34F08">
      <w:pPr>
        <w:spacing w:after="0" w:line="360" w:lineRule="auto"/>
        <w:jc w:val="both"/>
        <w:rPr>
          <w:rFonts w:ascii="Palatino Linotype" w:hAnsi="Palatino Linotype" w:cs="Arial"/>
          <w:sz w:val="24"/>
          <w:szCs w:val="24"/>
        </w:rPr>
      </w:pPr>
    </w:p>
    <w:p w:rsidR="000A4B02" w:rsidRDefault="000A4B02" w:rsidP="00E34F08">
      <w:pPr>
        <w:spacing w:after="0" w:line="360" w:lineRule="auto"/>
        <w:jc w:val="both"/>
        <w:rPr>
          <w:rFonts w:ascii="Palatino Linotype" w:hAnsi="Palatino Linotype" w:cs="Arial"/>
          <w:sz w:val="24"/>
          <w:szCs w:val="24"/>
        </w:rPr>
      </w:pPr>
    </w:p>
    <w:p w:rsidR="000A4B02" w:rsidRDefault="000A4B02" w:rsidP="00E34F08">
      <w:pPr>
        <w:spacing w:after="0" w:line="360" w:lineRule="auto"/>
        <w:jc w:val="both"/>
        <w:rPr>
          <w:rFonts w:ascii="Palatino Linotype" w:hAnsi="Palatino Linotype" w:cs="Arial"/>
          <w:sz w:val="24"/>
          <w:szCs w:val="24"/>
        </w:rPr>
      </w:pPr>
    </w:p>
    <w:p w:rsidR="0046491C" w:rsidRPr="00DD7431" w:rsidRDefault="0046491C" w:rsidP="00E34F08">
      <w:pPr>
        <w:spacing w:after="0" w:line="360" w:lineRule="auto"/>
        <w:jc w:val="both"/>
        <w:rPr>
          <w:rFonts w:ascii="Palatino Linotype" w:hAnsi="Palatino Linotype" w:cs="Arial"/>
          <w:sz w:val="28"/>
          <w:szCs w:val="24"/>
        </w:rPr>
      </w:pPr>
      <w:r w:rsidRPr="00DD7431">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166140" w:rsidRDefault="0046491C" w:rsidP="00166140">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34985162" w:history="1">
            <w:r w:rsidR="00166140" w:rsidRPr="00421F45">
              <w:rPr>
                <w:rStyle w:val="Hipervnculo"/>
                <w:rFonts w:ascii="Palatino Linotype" w:hAnsi="Palatino Linotype"/>
                <w:b/>
                <w:noProof/>
              </w:rPr>
              <w:t>I.</w:t>
            </w:r>
            <w:r w:rsidR="00166140">
              <w:rPr>
                <w:rFonts w:eastAsiaTheme="minorEastAsia"/>
                <w:noProof/>
                <w:lang w:eastAsia="es-MX"/>
              </w:rPr>
              <w:tab/>
            </w:r>
            <w:r w:rsidR="00166140" w:rsidRPr="00421F45">
              <w:rPr>
                <w:rStyle w:val="Hipervnculo"/>
                <w:rFonts w:ascii="Palatino Linotype" w:hAnsi="Palatino Linotype"/>
                <w:b/>
                <w:noProof/>
              </w:rPr>
              <w:t>Consideraciones Generales.</w:t>
            </w:r>
            <w:r w:rsidR="00166140">
              <w:rPr>
                <w:noProof/>
                <w:webHidden/>
              </w:rPr>
              <w:tab/>
            </w:r>
            <w:r w:rsidR="00166140">
              <w:rPr>
                <w:noProof/>
                <w:webHidden/>
              </w:rPr>
              <w:fldChar w:fldCharType="begin"/>
            </w:r>
            <w:r w:rsidR="00166140">
              <w:rPr>
                <w:noProof/>
                <w:webHidden/>
              </w:rPr>
              <w:instrText xml:space="preserve"> PAGEREF _Toc534985162 \h </w:instrText>
            </w:r>
            <w:r w:rsidR="00166140">
              <w:rPr>
                <w:noProof/>
                <w:webHidden/>
              </w:rPr>
            </w:r>
            <w:r w:rsidR="00166140">
              <w:rPr>
                <w:noProof/>
                <w:webHidden/>
              </w:rPr>
              <w:fldChar w:fldCharType="separate"/>
            </w:r>
            <w:r w:rsidR="00DF16B0">
              <w:rPr>
                <w:noProof/>
                <w:webHidden/>
              </w:rPr>
              <w:t>3</w:t>
            </w:r>
            <w:r w:rsidR="00166140">
              <w:rPr>
                <w:noProof/>
                <w:webHidden/>
              </w:rPr>
              <w:fldChar w:fldCharType="end"/>
            </w:r>
          </w:hyperlink>
        </w:p>
        <w:p w:rsidR="00166140" w:rsidRDefault="002C7B9C" w:rsidP="00166140">
          <w:pPr>
            <w:pStyle w:val="TDC1"/>
            <w:rPr>
              <w:rFonts w:eastAsiaTheme="minorEastAsia"/>
              <w:noProof/>
              <w:lang w:eastAsia="es-MX"/>
            </w:rPr>
          </w:pPr>
          <w:hyperlink w:anchor="_Toc534985163" w:history="1">
            <w:r w:rsidR="00166140" w:rsidRPr="00421F45">
              <w:rPr>
                <w:rStyle w:val="Hipervnculo"/>
                <w:rFonts w:ascii="Palatino Linotype" w:hAnsi="Palatino Linotype"/>
                <w:b/>
                <w:noProof/>
              </w:rPr>
              <w:t>II.</w:t>
            </w:r>
            <w:r w:rsidR="00166140">
              <w:rPr>
                <w:rFonts w:eastAsiaTheme="minorEastAsia"/>
                <w:noProof/>
                <w:lang w:eastAsia="es-MX"/>
              </w:rPr>
              <w:tab/>
            </w:r>
            <w:r w:rsidR="00166140" w:rsidRPr="00421F45">
              <w:rPr>
                <w:rStyle w:val="Hipervnculo"/>
                <w:rFonts w:ascii="Palatino Linotype" w:hAnsi="Palatino Linotype"/>
                <w:b/>
                <w:noProof/>
              </w:rPr>
              <w:t>De los requerimientos planteados en el recurso de revisión.</w:t>
            </w:r>
            <w:r w:rsidR="00166140">
              <w:rPr>
                <w:noProof/>
                <w:webHidden/>
              </w:rPr>
              <w:tab/>
            </w:r>
            <w:r w:rsidR="00166140">
              <w:rPr>
                <w:noProof/>
                <w:webHidden/>
              </w:rPr>
              <w:fldChar w:fldCharType="begin"/>
            </w:r>
            <w:r w:rsidR="00166140">
              <w:rPr>
                <w:noProof/>
                <w:webHidden/>
              </w:rPr>
              <w:instrText xml:space="preserve"> PAGEREF _Toc534985163 \h </w:instrText>
            </w:r>
            <w:r w:rsidR="00166140">
              <w:rPr>
                <w:noProof/>
                <w:webHidden/>
              </w:rPr>
            </w:r>
            <w:r w:rsidR="00166140">
              <w:rPr>
                <w:noProof/>
                <w:webHidden/>
              </w:rPr>
              <w:fldChar w:fldCharType="separate"/>
            </w:r>
            <w:r w:rsidR="00DF16B0">
              <w:rPr>
                <w:noProof/>
                <w:webHidden/>
              </w:rPr>
              <w:t>4</w:t>
            </w:r>
            <w:r w:rsidR="00166140">
              <w:rPr>
                <w:noProof/>
                <w:webHidden/>
              </w:rPr>
              <w:fldChar w:fldCharType="end"/>
            </w:r>
          </w:hyperlink>
        </w:p>
        <w:p w:rsidR="00166140" w:rsidRDefault="00166140" w:rsidP="00166140">
          <w:pPr>
            <w:pStyle w:val="TDC1"/>
            <w:rPr>
              <w:rFonts w:eastAsiaTheme="minorEastAsia"/>
              <w:noProof/>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B5556B9" wp14:editId="23ECD744">
                    <wp:simplePos x="0" y="0"/>
                    <wp:positionH relativeFrom="column">
                      <wp:posOffset>0</wp:posOffset>
                    </wp:positionH>
                    <wp:positionV relativeFrom="paragraph">
                      <wp:posOffset>603147</wp:posOffset>
                    </wp:positionV>
                    <wp:extent cx="5597610" cy="3991232"/>
                    <wp:effectExtent l="19050" t="19050" r="22225" b="28575"/>
                    <wp:wrapNone/>
                    <wp:docPr id="6" name="Conector recto 6"/>
                    <wp:cNvGraphicFramePr/>
                    <a:graphic xmlns:a="http://schemas.openxmlformats.org/drawingml/2006/main">
                      <a:graphicData uri="http://schemas.microsoft.com/office/word/2010/wordprocessingShape">
                        <wps:wsp>
                          <wps:cNvCnPr/>
                          <wps:spPr>
                            <a:xfrm>
                              <a:off x="0" y="0"/>
                              <a:ext cx="5597610" cy="3991232"/>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A558B"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40.75pt,3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" strokecolor="#5b9bd5 [3204]" strokeweight="2.25pt">
                    <v:stroke joinstyle="miter"/>
                  </v:line>
                </w:pict>
              </mc:Fallback>
            </mc:AlternateContent>
          </w:r>
          <w:hyperlink w:anchor="_Toc534985164" w:history="1">
            <w:r w:rsidRPr="00421F45">
              <w:rPr>
                <w:rStyle w:val="Hipervnculo"/>
                <w:rFonts w:ascii="Palatino Linotype" w:hAnsi="Palatino Linotype"/>
                <w:b/>
                <w:noProof/>
              </w:rPr>
              <w:t>III.</w:t>
            </w:r>
            <w:r>
              <w:rPr>
                <w:rFonts w:eastAsiaTheme="minorEastAsia"/>
                <w:noProof/>
                <w:lang w:eastAsia="es-MX"/>
              </w:rPr>
              <w:tab/>
            </w:r>
            <w:r w:rsidRPr="00421F45">
              <w:rPr>
                <w:rStyle w:val="Hipervnculo"/>
                <w:rFonts w:ascii="Palatino Linotype" w:hAnsi="Palatino Linotype"/>
                <w:b/>
                <w:noProof/>
              </w:rPr>
              <w:t>Los actos consentidos no deben invocarse en el derecho fundamental de acceder a la información pública gubernamental.</w:t>
            </w:r>
            <w:r>
              <w:rPr>
                <w:noProof/>
                <w:webHidden/>
              </w:rPr>
              <w:tab/>
            </w:r>
            <w:r>
              <w:rPr>
                <w:noProof/>
                <w:webHidden/>
              </w:rPr>
              <w:fldChar w:fldCharType="begin"/>
            </w:r>
            <w:r>
              <w:rPr>
                <w:noProof/>
                <w:webHidden/>
              </w:rPr>
              <w:instrText xml:space="preserve"> PAGEREF _Toc534985164 \h </w:instrText>
            </w:r>
            <w:r>
              <w:rPr>
                <w:noProof/>
                <w:webHidden/>
              </w:rPr>
            </w:r>
            <w:r>
              <w:rPr>
                <w:noProof/>
                <w:webHidden/>
              </w:rPr>
              <w:fldChar w:fldCharType="separate"/>
            </w:r>
            <w:r w:rsidR="00DF16B0">
              <w:rPr>
                <w:noProof/>
                <w:webHidden/>
              </w:rPr>
              <w:t>8</w:t>
            </w:r>
            <w:r>
              <w:rPr>
                <w:noProof/>
                <w:webHidden/>
              </w:rPr>
              <w:fldChar w:fldCharType="end"/>
            </w:r>
          </w:hyperlink>
        </w:p>
        <w:p w:rsidR="00072966" w:rsidRPr="000A4B02" w:rsidRDefault="0046491C" w:rsidP="000A4B02">
          <w:pPr>
            <w:spacing w:line="360" w:lineRule="auto"/>
            <w:rPr>
              <w:rFonts w:ascii="Palatino Linotype" w:hAnsi="Palatino Linotype"/>
            </w:rPr>
          </w:pPr>
          <w:r w:rsidRPr="00072966">
            <w:rPr>
              <w:rFonts w:ascii="Palatino Linotype" w:hAnsi="Palatino Linotype"/>
              <w:b/>
              <w:bCs/>
              <w:lang w:val="es-ES"/>
            </w:rPr>
            <w:fldChar w:fldCharType="end"/>
          </w:r>
        </w:p>
      </w:sdtContent>
    </w:sdt>
    <w:p w:rsidR="00702BD9" w:rsidRDefault="00702BD9"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34985162"/>
      <w:r w:rsidRPr="00072966">
        <w:rPr>
          <w:rFonts w:ascii="Palatino Linotype" w:hAnsi="Palatino Linotype"/>
          <w:b/>
          <w:color w:val="auto"/>
          <w:sz w:val="24"/>
          <w:szCs w:val="24"/>
        </w:rPr>
        <w:lastRenderedPageBreak/>
        <w:t>Consideraciones Generales.</w:t>
      </w:r>
      <w:bookmarkEnd w:id="0"/>
    </w:p>
    <w:p w:rsidR="0046491C" w:rsidRPr="000A4B02" w:rsidRDefault="0046491C" w:rsidP="000A4B02">
      <w:pPr>
        <w:pStyle w:val="Prrafodelista"/>
        <w:spacing w:after="0" w:line="240" w:lineRule="auto"/>
        <w:ind w:left="1080"/>
        <w:jc w:val="both"/>
        <w:rPr>
          <w:rFonts w:ascii="Palatino Linotype" w:hAnsi="Palatino Linotype" w:cs="Arial"/>
          <w:b/>
          <w:sz w:val="18"/>
          <w:szCs w:val="24"/>
        </w:rPr>
      </w:pPr>
    </w:p>
    <w:p w:rsidR="009A5396" w:rsidRPr="000A4B02" w:rsidRDefault="0046491C" w:rsidP="0065467C">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w:t>
      </w:r>
      <w:r w:rsidRPr="000A4B02">
        <w:rPr>
          <w:rFonts w:ascii="Palatino Linotype" w:eastAsia="Arial Unicode MS" w:hAnsi="Palatino Linotype" w:cs="Arial"/>
          <w:sz w:val="24"/>
          <w:szCs w:val="24"/>
          <w:bdr w:val="nil"/>
          <w:lang w:val="es-ES_tradnl"/>
        </w:rPr>
        <w:t>concurrido</w:t>
      </w:r>
      <w:r w:rsidRPr="00072966">
        <w:rPr>
          <w:rFonts w:ascii="Palatino Linotype" w:eastAsia="Times New Roman" w:hAnsi="Palatino Linotype" w:cs="Arial"/>
          <w:sz w:val="24"/>
          <w:szCs w:val="24"/>
          <w:lang w:val="es-ES_tradnl"/>
        </w:rPr>
        <w:t xml:space="preserve"> </w:t>
      </w:r>
      <w:r w:rsidRPr="00DD7431">
        <w:rPr>
          <w:rFonts w:ascii="Palatino Linotype" w:eastAsia="Arial Unicode MS" w:hAnsi="Palatino Linotype" w:cs="Arial"/>
          <w:sz w:val="24"/>
          <w:szCs w:val="24"/>
          <w:bdr w:val="nil"/>
          <w:lang w:val="es-ES_tradnl"/>
        </w:rPr>
        <w:t>con</w:t>
      </w:r>
      <w:r w:rsidRPr="00072966">
        <w:rPr>
          <w:rFonts w:ascii="Palatino Linotype" w:eastAsia="Times New Roman" w:hAnsi="Palatino Linotype" w:cs="Arial"/>
          <w:sz w:val="24"/>
          <w:szCs w:val="24"/>
          <w:lang w:val="es-ES_tradnl"/>
        </w:rPr>
        <w:t xml:space="preserve">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65467C">
        <w:rPr>
          <w:rFonts w:ascii="Palatino Linotype" w:hAnsi="Palatino Linotype" w:cs="Arial"/>
          <w:sz w:val="24"/>
          <w:szCs w:val="24"/>
        </w:rPr>
        <w:t xml:space="preserve">Tercera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65467C">
        <w:rPr>
          <w:rFonts w:ascii="Palatino Linotype" w:hAnsi="Palatino Linotype" w:cs="Arial"/>
          <w:sz w:val="24"/>
          <w:szCs w:val="24"/>
        </w:rPr>
        <w:t>veintitrés (23</w:t>
      </w:r>
      <w:r w:rsidR="00225026" w:rsidRPr="00072966">
        <w:rPr>
          <w:rFonts w:ascii="Palatino Linotype" w:hAnsi="Palatino Linotype" w:cs="Arial"/>
          <w:sz w:val="24"/>
          <w:szCs w:val="24"/>
        </w:rPr>
        <w:t xml:space="preserve">) de </w:t>
      </w:r>
      <w:r w:rsidR="00347624">
        <w:rPr>
          <w:rFonts w:ascii="Palatino Linotype" w:hAnsi="Palatino Linotype" w:cs="Arial"/>
          <w:sz w:val="24"/>
          <w:szCs w:val="24"/>
        </w:rPr>
        <w:t>enero</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w:t>
      </w:r>
      <w:r w:rsidR="00347624">
        <w:rPr>
          <w:rFonts w:ascii="Palatino Linotype" w:hAnsi="Palatino Linotype" w:cs="Arial"/>
          <w:sz w:val="24"/>
          <w:szCs w:val="24"/>
        </w:rPr>
        <w:t>nueve</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en contra de la respuesta del </w:t>
      </w:r>
      <w:r w:rsidR="00347624">
        <w:rPr>
          <w:rFonts w:ascii="Palatino Linotype" w:hAnsi="Palatino Linotype"/>
          <w:b/>
          <w:lang w:val="es-ES_tradnl"/>
        </w:rPr>
        <w:t xml:space="preserve">Ayuntamiento de </w:t>
      </w:r>
      <w:r w:rsidR="0065467C" w:rsidRPr="0065467C">
        <w:rPr>
          <w:rFonts w:ascii="Palatino Linotype" w:hAnsi="Palatino Linotype"/>
          <w:b/>
          <w:lang w:val="es-ES_tradnl"/>
        </w:rPr>
        <w:t>Zumpango</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347624">
        <w:rPr>
          <w:rFonts w:ascii="Palatino Linotype" w:eastAsia="Times New Roman" w:hAnsi="Palatino Linotype" w:cs="Arial"/>
          <w:b/>
          <w:bCs/>
          <w:sz w:val="24"/>
          <w:szCs w:val="24"/>
          <w:lang w:eastAsia="es-ES"/>
        </w:rPr>
        <w:t>4</w:t>
      </w:r>
      <w:r w:rsidR="0065467C">
        <w:rPr>
          <w:rFonts w:ascii="Palatino Linotype" w:eastAsia="Times New Roman" w:hAnsi="Palatino Linotype" w:cs="Arial"/>
          <w:b/>
          <w:bCs/>
          <w:sz w:val="24"/>
          <w:szCs w:val="24"/>
          <w:lang w:eastAsia="es-ES"/>
        </w:rPr>
        <w:t>372</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A4B02" w:rsidRPr="000A4B02" w:rsidRDefault="000A4B02" w:rsidP="000A4B02">
      <w:pPr>
        <w:pStyle w:val="Prrafodelista"/>
        <w:spacing w:after="0" w:line="240" w:lineRule="auto"/>
        <w:ind w:left="426"/>
        <w:jc w:val="both"/>
        <w:rPr>
          <w:rFonts w:ascii="Palatino Linotype" w:hAnsi="Palatino Linotype" w:cs="Arial"/>
          <w:sz w:val="24"/>
          <w:szCs w:val="24"/>
        </w:rPr>
      </w:pPr>
    </w:p>
    <w:p w:rsidR="0065467C" w:rsidRPr="0065467C" w:rsidRDefault="00C7250F" w:rsidP="0065467C">
      <w:pPr>
        <w:pStyle w:val="Prrafodelista"/>
        <w:numPr>
          <w:ilvl w:val="0"/>
          <w:numId w:val="1"/>
        </w:numPr>
        <w:spacing w:after="0" w:line="360" w:lineRule="auto"/>
        <w:ind w:left="0" w:right="-93" w:firstLine="0"/>
        <w:jc w:val="both"/>
        <w:rPr>
          <w:rFonts w:ascii="Palatino Linotype" w:hAnsi="Palatino Linotype" w:cs="Arial"/>
          <w:sz w:val="24"/>
          <w:szCs w:val="24"/>
        </w:rPr>
      </w:pPr>
      <w:r w:rsidRPr="00347624">
        <w:rPr>
          <w:rFonts w:ascii="Palatino Linotype" w:hAnsi="Palatino Linotype" w:cs="Arial"/>
          <w:sz w:val="24"/>
          <w:szCs w:val="24"/>
        </w:rPr>
        <w:t xml:space="preserve">El </w:t>
      </w:r>
      <w:r w:rsidRPr="00DD7431">
        <w:rPr>
          <w:rFonts w:ascii="Palatino Linotype" w:eastAsia="Arial Unicode MS" w:hAnsi="Palatino Linotype" w:cs="Arial"/>
          <w:sz w:val="24"/>
          <w:szCs w:val="24"/>
          <w:bdr w:val="nil"/>
          <w:lang w:val="es-ES_tradnl"/>
        </w:rPr>
        <w:t>sentido</w:t>
      </w:r>
      <w:r w:rsidRPr="00347624">
        <w:rPr>
          <w:rFonts w:ascii="Palatino Linotype" w:hAnsi="Palatino Linotype" w:cs="Arial"/>
          <w:sz w:val="24"/>
          <w:szCs w:val="24"/>
        </w:rPr>
        <w:t xml:space="preserve"> de la Resolución puntualmente determin</w:t>
      </w:r>
      <w:r w:rsidR="0065467C">
        <w:rPr>
          <w:rFonts w:ascii="Palatino Linotype" w:hAnsi="Palatino Linotype" w:cs="Arial"/>
          <w:sz w:val="24"/>
          <w:szCs w:val="24"/>
        </w:rPr>
        <w:t xml:space="preserve">ó </w:t>
      </w:r>
      <w:r w:rsidR="0065467C" w:rsidRPr="0065467C">
        <w:rPr>
          <w:rFonts w:ascii="Palatino Linotype" w:hAnsi="Palatino Linotype" w:cs="Arial"/>
          <w:b/>
          <w:sz w:val="24"/>
          <w:szCs w:val="24"/>
        </w:rPr>
        <w:t>MODIFICAR</w:t>
      </w:r>
      <w:r w:rsidR="0065467C">
        <w:rPr>
          <w:rFonts w:ascii="Palatino Linotype" w:hAnsi="Palatino Linotype" w:cs="Arial"/>
          <w:sz w:val="24"/>
          <w:szCs w:val="24"/>
        </w:rPr>
        <w:t xml:space="preserve"> y ordenar </w:t>
      </w:r>
      <w:r w:rsidR="0065467C" w:rsidRPr="0065467C">
        <w:rPr>
          <w:rFonts w:ascii="Palatino Linotype" w:hAnsi="Palatino Linotype" w:cs="Arial"/>
          <w:bCs/>
        </w:rPr>
        <w:t>vía SAIMEX, en versión pública</w:t>
      </w:r>
      <w:r w:rsidR="0065467C" w:rsidRPr="0065467C">
        <w:rPr>
          <w:rFonts w:ascii="Palatino Linotype" w:hAnsi="Palatino Linotype" w:cs="Arial"/>
          <w:b/>
          <w:bCs/>
        </w:rPr>
        <w:t xml:space="preserve"> </w:t>
      </w:r>
      <w:r w:rsidR="0065467C" w:rsidRPr="0065467C">
        <w:rPr>
          <w:rFonts w:ascii="Palatino Linotype" w:hAnsi="Palatino Linotype" w:cs="Arial"/>
        </w:rPr>
        <w:t>lo siguiente:</w:t>
      </w:r>
    </w:p>
    <w:p w:rsidR="0065467C" w:rsidRPr="0065467C" w:rsidRDefault="0065467C" w:rsidP="00D87CE2">
      <w:pPr>
        <w:pStyle w:val="Prrafodelista"/>
        <w:spacing w:line="360" w:lineRule="auto"/>
        <w:ind w:left="567" w:right="618"/>
        <w:jc w:val="both"/>
        <w:rPr>
          <w:rFonts w:ascii="Palatino Linotype" w:eastAsia="Arial Unicode MS" w:hAnsi="Palatino Linotype" w:cs="Arial"/>
          <w:i/>
        </w:rPr>
      </w:pPr>
      <w:r w:rsidRPr="0065467C">
        <w:rPr>
          <w:rFonts w:ascii="Palatino Linotype" w:eastAsia="Arial Unicode MS" w:hAnsi="Palatino Linotype" w:cs="Arial"/>
          <w:i/>
        </w:rPr>
        <w:t>“Los Comprobantes Fiscales Digitales por Internet por concepto de nómina del Secretario del Ayuntamiento, correspondientes a los meses de enero de los años 2016 y 2018, febrero 2017 y la primera quincena de octubre de 2018.</w:t>
      </w:r>
    </w:p>
    <w:p w:rsidR="0065467C" w:rsidRPr="0065467C" w:rsidRDefault="0065467C" w:rsidP="00D87CE2">
      <w:pPr>
        <w:pStyle w:val="Prrafodelista"/>
        <w:widowControl w:val="0"/>
        <w:autoSpaceDE w:val="0"/>
        <w:autoSpaceDN w:val="0"/>
        <w:adjustRightInd w:val="0"/>
        <w:spacing w:before="100" w:beforeAutospacing="1" w:after="100" w:afterAutospacing="1" w:line="360" w:lineRule="auto"/>
        <w:ind w:left="567" w:right="618"/>
        <w:jc w:val="both"/>
        <w:rPr>
          <w:rFonts w:ascii="Palatino Linotype" w:eastAsiaTheme="minorEastAsia" w:hAnsi="Palatino Linotype" w:cs="Arial"/>
          <w:i/>
        </w:rPr>
      </w:pPr>
      <w:r w:rsidRPr="0065467C">
        <w:rPr>
          <w:rFonts w:ascii="Palatino Linotype" w:eastAsiaTheme="minorEastAsia" w:hAnsi="Palatino Linotype" w:cs="Arial"/>
          <w:i/>
        </w:rPr>
        <w:t>Debiendo notificar al</w:t>
      </w:r>
      <w:r w:rsidRPr="0065467C">
        <w:rPr>
          <w:rFonts w:ascii="Palatino Linotype" w:eastAsiaTheme="minorEastAsia" w:hAnsi="Palatino Linotype" w:cs="Arial"/>
          <w:b/>
          <w:i/>
        </w:rPr>
        <w:t xml:space="preserve"> RECURRENTE</w:t>
      </w:r>
      <w:r w:rsidRPr="0065467C">
        <w:rPr>
          <w:rFonts w:ascii="Palatino Linotype" w:eastAsiaTheme="minorEastAsia" w:hAnsi="Palatino Linotype" w:cs="Arial"/>
          <w:i/>
        </w:rPr>
        <w:t xml:space="preserve"> el Acuerdo de clasificación de la información que apruebe el Comité de Transparencia con motivo de la versión pública</w:t>
      </w:r>
      <w:r w:rsidRPr="0065467C">
        <w:rPr>
          <w:rFonts w:ascii="Palatino Linotype" w:eastAsia="Arial Unicode MS" w:hAnsi="Palatino Linotype" w:cs="Arial"/>
          <w:i/>
        </w:rPr>
        <w:t>.”</w:t>
      </w:r>
    </w:p>
    <w:p w:rsidR="0065467C" w:rsidRDefault="0065467C" w:rsidP="00D87CE2">
      <w:pPr>
        <w:pStyle w:val="Prrafodelista"/>
        <w:spacing w:after="0" w:line="240" w:lineRule="auto"/>
        <w:ind w:left="0" w:right="-93"/>
        <w:jc w:val="both"/>
        <w:rPr>
          <w:rFonts w:ascii="Palatino Linotype" w:hAnsi="Palatino Linotype" w:cs="Arial"/>
          <w:sz w:val="24"/>
          <w:szCs w:val="24"/>
        </w:rPr>
      </w:pPr>
    </w:p>
    <w:p w:rsidR="0046491C" w:rsidRPr="00D87CE2" w:rsidRDefault="0065467C" w:rsidP="00F0345C">
      <w:pPr>
        <w:pStyle w:val="Prrafodelista"/>
        <w:numPr>
          <w:ilvl w:val="0"/>
          <w:numId w:val="1"/>
        </w:numPr>
        <w:spacing w:after="0" w:line="360" w:lineRule="auto"/>
        <w:ind w:left="0" w:right="-93" w:firstLine="0"/>
        <w:jc w:val="both"/>
        <w:rPr>
          <w:rFonts w:ascii="Palatino Linotype" w:hAnsi="Palatino Linotype" w:cs="Arial"/>
          <w:sz w:val="24"/>
          <w:szCs w:val="24"/>
        </w:rPr>
      </w:pPr>
      <w:r w:rsidRPr="00D87CE2">
        <w:rPr>
          <w:rFonts w:ascii="Palatino Linotype" w:hAnsi="Palatino Linotype" w:cs="Arial"/>
          <w:sz w:val="24"/>
          <w:szCs w:val="24"/>
        </w:rPr>
        <w:t xml:space="preserve">Sin embargo, se señaló que derivado de que no se inconformó respecto de la Certificación expedida por el Instituto Hacendario del Estado para desempeñar las funciones de la Secretaría del Ayuntamiento, se deberá de </w:t>
      </w:r>
      <w:r w:rsidR="00D87CE2" w:rsidRPr="00D87CE2">
        <w:rPr>
          <w:rFonts w:ascii="Palatino Linotype" w:hAnsi="Palatino Linotype" w:cs="Arial"/>
          <w:sz w:val="24"/>
          <w:szCs w:val="24"/>
        </w:rPr>
        <w:t>declararse consentidos; p</w:t>
      </w:r>
      <w:r w:rsidR="0046491C" w:rsidRPr="00D87CE2">
        <w:rPr>
          <w:rFonts w:ascii="Palatino Linotype" w:hAnsi="Palatino Linotype" w:cs="Arial"/>
          <w:sz w:val="24"/>
          <w:szCs w:val="24"/>
        </w:rPr>
        <w:t xml:space="preserve">or tal motivo y en </w:t>
      </w:r>
      <w:r w:rsidR="0046491C" w:rsidRPr="00D87CE2">
        <w:rPr>
          <w:rFonts w:ascii="Palatino Linotype" w:eastAsia="Arial Unicode MS" w:hAnsi="Palatino Linotype" w:cs="Arial"/>
          <w:sz w:val="24"/>
          <w:szCs w:val="24"/>
          <w:bdr w:val="nil"/>
          <w:lang w:val="es-ES_tradnl"/>
        </w:rPr>
        <w:t>términos</w:t>
      </w:r>
      <w:r w:rsidR="0046491C" w:rsidRPr="00D87CE2">
        <w:rPr>
          <w:rFonts w:ascii="Palatino Linotype" w:hAnsi="Palatino Linotype" w:cs="Arial"/>
          <w:sz w:val="24"/>
          <w:szCs w:val="24"/>
        </w:rPr>
        <w:t xml:space="preserve"> de lo señalado por los artículos </w:t>
      </w:r>
      <w:r w:rsidR="00AA49F3" w:rsidRPr="00D87CE2">
        <w:rPr>
          <w:rFonts w:ascii="Palatino Linotype" w:hAnsi="Palatino Linotype" w:cs="Arial"/>
          <w:sz w:val="24"/>
          <w:szCs w:val="24"/>
        </w:rPr>
        <w:t>14</w:t>
      </w:r>
      <w:r w:rsidR="0046491C" w:rsidRPr="00D87CE2">
        <w:rPr>
          <w:rFonts w:ascii="Palatino Linotype" w:hAnsi="Palatino Linotype" w:cs="Arial"/>
          <w:sz w:val="24"/>
          <w:szCs w:val="24"/>
        </w:rPr>
        <w:t xml:space="preserve"> fracción </w:t>
      </w:r>
      <w:r w:rsidR="00AA49F3" w:rsidRPr="00D87CE2">
        <w:rPr>
          <w:rFonts w:ascii="Palatino Linotype" w:hAnsi="Palatino Linotype" w:cs="Arial"/>
          <w:sz w:val="24"/>
          <w:szCs w:val="24"/>
        </w:rPr>
        <w:t>XI</w:t>
      </w:r>
      <w:r w:rsidR="0046491C" w:rsidRPr="00D87CE2">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9A5396" w:rsidRDefault="0046491C" w:rsidP="00E34F08">
      <w:pPr>
        <w:pStyle w:val="Ttulo1"/>
        <w:numPr>
          <w:ilvl w:val="0"/>
          <w:numId w:val="12"/>
        </w:numPr>
        <w:spacing w:line="360" w:lineRule="auto"/>
        <w:rPr>
          <w:rFonts w:ascii="Palatino Linotype" w:hAnsi="Palatino Linotype"/>
          <w:b/>
          <w:color w:val="auto"/>
          <w:sz w:val="24"/>
          <w:szCs w:val="24"/>
        </w:rPr>
      </w:pPr>
      <w:bookmarkStart w:id="1" w:name="_Toc534985163"/>
      <w:r w:rsidRPr="009A5396">
        <w:rPr>
          <w:rFonts w:ascii="Palatino Linotype" w:hAnsi="Palatino Linotype"/>
          <w:b/>
          <w:color w:val="auto"/>
          <w:sz w:val="24"/>
          <w:szCs w:val="24"/>
        </w:rPr>
        <w:lastRenderedPageBreak/>
        <w:t>De los requerimientos planteados en el recurso de revisión.</w:t>
      </w:r>
      <w:bookmarkEnd w:id="1"/>
    </w:p>
    <w:p w:rsidR="0046491C" w:rsidRPr="009A5396" w:rsidRDefault="0046491C" w:rsidP="000A4B02">
      <w:pPr>
        <w:pStyle w:val="Prrafodelista"/>
        <w:spacing w:line="240" w:lineRule="auto"/>
        <w:ind w:left="1080"/>
        <w:jc w:val="both"/>
        <w:rPr>
          <w:rFonts w:ascii="Palatino Linotype" w:hAnsi="Palatino Linotype" w:cs="Arial"/>
          <w:sz w:val="24"/>
          <w:szCs w:val="24"/>
        </w:rPr>
      </w:pPr>
    </w:p>
    <w:p w:rsidR="007014AE" w:rsidRPr="007014AE" w:rsidRDefault="009D2892" w:rsidP="007014AE">
      <w:pPr>
        <w:pStyle w:val="Prrafodelista"/>
        <w:numPr>
          <w:ilvl w:val="0"/>
          <w:numId w:val="1"/>
        </w:numPr>
        <w:spacing w:after="0" w:line="360" w:lineRule="auto"/>
        <w:ind w:left="0" w:right="-93" w:firstLine="0"/>
        <w:jc w:val="both"/>
        <w:rPr>
          <w:rFonts w:ascii="Palatino Linotype" w:eastAsia="Times New Roman" w:hAnsi="Palatino Linotype" w:cs="Times New Roman"/>
          <w:i/>
          <w:sz w:val="24"/>
          <w:szCs w:val="24"/>
          <w:lang w:val="es-ES_tradnl" w:eastAsia="es-ES"/>
        </w:rPr>
      </w:pPr>
      <w:r w:rsidRPr="009A5396">
        <w:rPr>
          <w:rFonts w:ascii="Palatino Linotype" w:hAnsi="Palatino Linotype" w:cs="Arial"/>
          <w:sz w:val="24"/>
          <w:szCs w:val="24"/>
        </w:rPr>
        <w:t>La parte recurrente</w:t>
      </w:r>
      <w:r w:rsidR="000D1743" w:rsidRPr="009A5396">
        <w:rPr>
          <w:rFonts w:ascii="Palatino Linotype" w:hAnsi="Palatino Linotype" w:cs="Arial"/>
          <w:sz w:val="24"/>
          <w:szCs w:val="24"/>
        </w:rPr>
        <w:t xml:space="preserve"> solicitó</w:t>
      </w:r>
      <w:r w:rsidR="007014AE">
        <w:rPr>
          <w:rFonts w:ascii="Palatino Linotype" w:hAnsi="Palatino Linotype" w:cs="Arial"/>
          <w:sz w:val="24"/>
          <w:szCs w:val="24"/>
        </w:rPr>
        <w:t xml:space="preserve"> d</w:t>
      </w:r>
      <w:r w:rsidR="007014AE" w:rsidRPr="007014AE">
        <w:rPr>
          <w:rFonts w:ascii="Palatino Linotype" w:hAnsi="Palatino Linotype" w:cs="Arial"/>
          <w:sz w:val="24"/>
          <w:szCs w:val="24"/>
        </w:rPr>
        <w:t>el secretario del ayuntamiento</w:t>
      </w:r>
      <w:r w:rsidR="007014AE">
        <w:rPr>
          <w:rFonts w:ascii="Palatino Linotype" w:hAnsi="Palatino Linotype" w:cs="Arial"/>
          <w:sz w:val="24"/>
          <w:szCs w:val="24"/>
        </w:rPr>
        <w:t xml:space="preserve"> lo siguiente:</w:t>
      </w:r>
    </w:p>
    <w:p w:rsidR="000E40D7" w:rsidRPr="000E40D7" w:rsidRDefault="000E40D7" w:rsidP="000E40D7">
      <w:pPr>
        <w:pStyle w:val="Prrafodelista"/>
        <w:widowControl w:val="0"/>
        <w:tabs>
          <w:tab w:val="left" w:pos="1701"/>
          <w:tab w:val="left" w:pos="1843"/>
        </w:tabs>
        <w:autoSpaceDE w:val="0"/>
        <w:autoSpaceDN w:val="0"/>
        <w:adjustRightInd w:val="0"/>
        <w:spacing w:before="100" w:beforeAutospacing="1" w:after="100" w:afterAutospacing="1" w:line="360" w:lineRule="auto"/>
        <w:ind w:left="851"/>
        <w:jc w:val="both"/>
        <w:rPr>
          <w:rFonts w:ascii="Palatino Linotype" w:hAnsi="Palatino Linotype" w:cs="Arial"/>
          <w:sz w:val="24"/>
        </w:rPr>
      </w:pPr>
      <w:r w:rsidRPr="000E40D7">
        <w:rPr>
          <w:rFonts w:ascii="Palatino Linotype" w:hAnsi="Palatino Linotype" w:cs="Arial"/>
          <w:sz w:val="24"/>
        </w:rPr>
        <w:t>a) Los Comprobantes Fiscales Digitales por Internet que se le expidieron durante los meses de enero 2016, febrero 2017, enero 2018 y la primera quincena de octubre de 2018.</w:t>
      </w:r>
    </w:p>
    <w:p w:rsidR="000E40D7" w:rsidRPr="000E40D7" w:rsidRDefault="000E40D7" w:rsidP="000E40D7">
      <w:pPr>
        <w:pStyle w:val="Prrafodelista"/>
        <w:widowControl w:val="0"/>
        <w:tabs>
          <w:tab w:val="left" w:pos="1701"/>
          <w:tab w:val="left" w:pos="1843"/>
        </w:tabs>
        <w:autoSpaceDE w:val="0"/>
        <w:autoSpaceDN w:val="0"/>
        <w:adjustRightInd w:val="0"/>
        <w:spacing w:before="100" w:beforeAutospacing="1" w:after="100" w:afterAutospacing="1" w:line="360" w:lineRule="auto"/>
        <w:ind w:left="851"/>
        <w:jc w:val="both"/>
        <w:rPr>
          <w:rFonts w:ascii="Palatino Linotype" w:hAnsi="Palatino Linotype" w:cs="Arial"/>
          <w:sz w:val="24"/>
        </w:rPr>
      </w:pPr>
      <w:r w:rsidRPr="000E40D7">
        <w:rPr>
          <w:rFonts w:ascii="Palatino Linotype" w:hAnsi="Palatino Linotype" w:cs="Arial"/>
          <w:sz w:val="24"/>
        </w:rPr>
        <w:t>b) Certificación expedida por el Instituto Hacendario del Estado de México, para desempeñarse como Secretario del Ayuntamiento.</w:t>
      </w:r>
    </w:p>
    <w:p w:rsidR="000E40D7" w:rsidRPr="009A5396" w:rsidRDefault="000E40D7" w:rsidP="00FE6326">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0E40D7" w:rsidRPr="00911472" w:rsidRDefault="009D2892" w:rsidP="00911472">
      <w:pPr>
        <w:pStyle w:val="Prrafodelista"/>
        <w:numPr>
          <w:ilvl w:val="0"/>
          <w:numId w:val="1"/>
        </w:numPr>
        <w:spacing w:after="0" w:line="360" w:lineRule="auto"/>
        <w:ind w:left="0" w:right="-93" w:firstLine="0"/>
        <w:jc w:val="both"/>
        <w:rPr>
          <w:rFonts w:ascii="Palatino Linotype" w:eastAsia="Calibri" w:hAnsi="Palatino Linotype" w:cs="Tahoma"/>
          <w:iCs/>
          <w:sz w:val="24"/>
          <w:szCs w:val="24"/>
          <w:lang w:val="es-ES" w:eastAsia="es-ES_tradnl"/>
        </w:rPr>
      </w:pPr>
      <w:r w:rsidRPr="009A5396">
        <w:rPr>
          <w:rFonts w:ascii="Palatino Linotype" w:eastAsia="Calibri" w:hAnsi="Palatino Linotype" w:cs="Tahoma"/>
          <w:iCs/>
          <w:sz w:val="24"/>
          <w:szCs w:val="24"/>
          <w:lang w:val="es-ES" w:eastAsia="es-ES_tradnl"/>
        </w:rPr>
        <w:t xml:space="preserve">El Sujeto </w:t>
      </w:r>
      <w:r w:rsidRPr="00FE6326">
        <w:rPr>
          <w:rFonts w:ascii="Palatino Linotype" w:hAnsi="Palatino Linotype" w:cs="Arial"/>
          <w:sz w:val="24"/>
          <w:szCs w:val="24"/>
        </w:rPr>
        <w:t>Obligado</w:t>
      </w:r>
      <w:r w:rsidRPr="009A5396">
        <w:rPr>
          <w:rFonts w:ascii="Palatino Linotype" w:eastAsia="Calibri" w:hAnsi="Palatino Linotype" w:cs="Tahoma"/>
          <w:iCs/>
          <w:sz w:val="24"/>
          <w:szCs w:val="24"/>
          <w:lang w:val="es-ES" w:eastAsia="es-ES_tradnl"/>
        </w:rPr>
        <w:t xml:space="preserve"> </w:t>
      </w:r>
      <w:r w:rsidRPr="00911472">
        <w:rPr>
          <w:rFonts w:ascii="Palatino Linotype" w:hAnsi="Palatino Linotype" w:cs="Arial"/>
          <w:sz w:val="24"/>
          <w:szCs w:val="24"/>
        </w:rPr>
        <w:t xml:space="preserve">en respuesta, </w:t>
      </w:r>
      <w:r w:rsidR="00CF2F92" w:rsidRPr="00911472">
        <w:rPr>
          <w:rFonts w:ascii="Palatino Linotype" w:hAnsi="Palatino Linotype" w:cs="Arial"/>
          <w:sz w:val="24"/>
          <w:szCs w:val="24"/>
        </w:rPr>
        <w:t xml:space="preserve">remitió </w:t>
      </w:r>
      <w:r w:rsidR="000E40D7" w:rsidRPr="00911472">
        <w:rPr>
          <w:rFonts w:ascii="Palatino Linotype" w:hAnsi="Palatino Linotype" w:cs="Arial"/>
          <w:sz w:val="24"/>
          <w:szCs w:val="24"/>
        </w:rPr>
        <w:t>el Certificado de Competencia Laboral para desempeñar el cargo de la Secretaría del Ayuntamiento, expedido por el Instituto Hacendario del Estado de México, en fecha veintisiete de junio de d</w:t>
      </w:r>
      <w:r w:rsidR="00911472" w:rsidRPr="00911472">
        <w:rPr>
          <w:rFonts w:ascii="Palatino Linotype" w:hAnsi="Palatino Linotype" w:cs="Arial"/>
          <w:sz w:val="24"/>
          <w:szCs w:val="24"/>
        </w:rPr>
        <w:t xml:space="preserve">os mil dieciséis y en </w:t>
      </w:r>
      <w:r w:rsidR="000E40D7" w:rsidRPr="00911472">
        <w:rPr>
          <w:rFonts w:ascii="Palatino Linotype" w:hAnsi="Palatino Linotype" w:cs="Arial"/>
          <w:sz w:val="24"/>
          <w:szCs w:val="24"/>
        </w:rPr>
        <w:t>versión pública de los Comprobantes Fiscales Digitales por Internet que se expidieron a favor del Secretario del Ayuntamiento durante los meses de enero 2016 y 2018, febrero 2017 y la primera quincena de octubre de 2018</w:t>
      </w:r>
      <w:r w:rsidR="00911472">
        <w:rPr>
          <w:rFonts w:ascii="Palatino Linotype" w:hAnsi="Palatino Linotype" w:cs="Arial"/>
          <w:sz w:val="24"/>
          <w:szCs w:val="24"/>
        </w:rPr>
        <w:t>.</w:t>
      </w:r>
    </w:p>
    <w:p w:rsidR="000E40D7" w:rsidRPr="005C4833" w:rsidRDefault="000E40D7" w:rsidP="005C4833">
      <w:pPr>
        <w:pStyle w:val="Prrafodelista"/>
        <w:spacing w:after="0" w:line="240" w:lineRule="auto"/>
        <w:ind w:left="0" w:right="-93"/>
        <w:jc w:val="both"/>
        <w:rPr>
          <w:rFonts w:ascii="Palatino Linotype" w:hAnsi="Palatino Linotype" w:cs="Arial"/>
          <w:sz w:val="24"/>
          <w:szCs w:val="24"/>
        </w:rPr>
      </w:pPr>
    </w:p>
    <w:p w:rsidR="00911472" w:rsidRPr="005C4833" w:rsidRDefault="009D2892" w:rsidP="00911472">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La recurrente se inconformó</w:t>
      </w:r>
      <w:r w:rsidR="005C4833">
        <w:rPr>
          <w:rFonts w:ascii="Palatino Linotype" w:hAnsi="Palatino Linotype" w:cs="Arial"/>
          <w:sz w:val="24"/>
          <w:szCs w:val="24"/>
        </w:rPr>
        <w:t xml:space="preserve"> únicamente</w:t>
      </w:r>
      <w:r w:rsidRPr="009A5396">
        <w:rPr>
          <w:rFonts w:ascii="Palatino Linotype" w:hAnsi="Palatino Linotype" w:cs="Arial"/>
          <w:sz w:val="24"/>
          <w:szCs w:val="24"/>
        </w:rPr>
        <w:t xml:space="preserve"> </w:t>
      </w:r>
      <w:r w:rsidRPr="005C4833">
        <w:rPr>
          <w:rFonts w:ascii="Palatino Linotype" w:hAnsi="Palatino Linotype" w:cs="Arial"/>
          <w:sz w:val="24"/>
          <w:szCs w:val="24"/>
        </w:rPr>
        <w:t>porque</w:t>
      </w:r>
      <w:r w:rsidR="00911472" w:rsidRPr="005C4833">
        <w:rPr>
          <w:rFonts w:ascii="Palatino Linotype" w:hAnsi="Palatino Linotype" w:cs="Arial"/>
          <w:sz w:val="24"/>
          <w:szCs w:val="24"/>
        </w:rPr>
        <w:t xml:space="preserve"> la</w:t>
      </w:r>
      <w:r w:rsidR="005C4833">
        <w:rPr>
          <w:rFonts w:ascii="Palatino Linotype" w:hAnsi="Palatino Linotype" w:cs="Arial"/>
          <w:sz w:val="24"/>
          <w:szCs w:val="24"/>
        </w:rPr>
        <w:t xml:space="preserve"> </w:t>
      </w:r>
      <w:r w:rsidR="00911472" w:rsidRPr="005C4833">
        <w:rPr>
          <w:rFonts w:ascii="Palatino Linotype" w:hAnsi="Palatino Linotype" w:cs="Arial"/>
          <w:sz w:val="24"/>
          <w:szCs w:val="24"/>
        </w:rPr>
        <w:t>información que se presentó es parcial ya que</w:t>
      </w:r>
      <w:r w:rsidR="005C4833" w:rsidRPr="005C4833">
        <w:rPr>
          <w:rFonts w:ascii="Palatino Linotype" w:hAnsi="Palatino Linotype" w:cs="Arial"/>
          <w:sz w:val="24"/>
          <w:szCs w:val="24"/>
        </w:rPr>
        <w:t xml:space="preserve"> se testaron datos en los CFDI </w:t>
      </w:r>
    </w:p>
    <w:p w:rsidR="009D2892" w:rsidRPr="009A5396" w:rsidRDefault="009D2892" w:rsidP="00FE6326">
      <w:pPr>
        <w:spacing w:after="0" w:line="240" w:lineRule="auto"/>
        <w:jc w:val="both"/>
        <w:rPr>
          <w:rFonts w:ascii="Palatino Linotype" w:eastAsia="Times New Roman" w:hAnsi="Palatino Linotype" w:cs="Times New Roman"/>
          <w:i/>
          <w:sz w:val="24"/>
          <w:szCs w:val="24"/>
          <w:lang w:val="es-ES_tradnl" w:eastAsia="es-ES"/>
        </w:rPr>
      </w:pPr>
    </w:p>
    <w:p w:rsidR="0046491C" w:rsidRPr="009A5396" w:rsidRDefault="0046491C" w:rsidP="00DD7431">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Si bien es de destacar, </w:t>
      </w:r>
      <w:r w:rsidR="00AE4797" w:rsidRPr="009A5396">
        <w:rPr>
          <w:rFonts w:ascii="Palatino Linotype" w:hAnsi="Palatino Linotype" w:cs="Arial"/>
          <w:sz w:val="24"/>
          <w:szCs w:val="24"/>
        </w:rPr>
        <w:t>que el Sujeto Obligado atiende la solicitud</w:t>
      </w:r>
      <w:r w:rsidR="00643C7E" w:rsidRPr="009A5396">
        <w:rPr>
          <w:rFonts w:ascii="Palatino Linotype" w:hAnsi="Palatino Linotype" w:cs="Arial"/>
          <w:sz w:val="24"/>
          <w:szCs w:val="24"/>
        </w:rPr>
        <w:t xml:space="preserve">, también lo es que el recurrente no se inconformó sobre la totalidad de la respuesta, </w:t>
      </w:r>
      <w:r w:rsidR="00FC5012" w:rsidRPr="009A5396">
        <w:rPr>
          <w:rFonts w:ascii="Palatino Linotype" w:hAnsi="Palatino Linotype" w:cs="Arial"/>
          <w:sz w:val="24"/>
          <w:szCs w:val="24"/>
        </w:rPr>
        <w:t xml:space="preserve">sin embargo, </w:t>
      </w:r>
      <w:r w:rsidRPr="009A5396">
        <w:rPr>
          <w:rFonts w:ascii="Palatino Linotype" w:hAnsi="Palatino Linotype" w:cs="Arial"/>
          <w:sz w:val="24"/>
          <w:szCs w:val="24"/>
        </w:rPr>
        <w:t xml:space="preserve">en el estudio y desarrollo de dicha resolución fueron invocados los llamados </w:t>
      </w:r>
      <w:r w:rsidR="006D268B" w:rsidRPr="009A5396">
        <w:rPr>
          <w:rFonts w:ascii="Palatino Linotype" w:hAnsi="Palatino Linotype" w:cs="Arial"/>
          <w:sz w:val="24"/>
          <w:szCs w:val="24"/>
        </w:rPr>
        <w:t>“</w:t>
      </w:r>
      <w:r w:rsidRPr="009A5396">
        <w:rPr>
          <w:rFonts w:ascii="Palatino Linotype" w:hAnsi="Palatino Linotype" w:cs="Arial"/>
          <w:sz w:val="24"/>
          <w:szCs w:val="24"/>
        </w:rPr>
        <w:t xml:space="preserve">actos </w:t>
      </w:r>
      <w:r w:rsidRPr="009A5396">
        <w:rPr>
          <w:rFonts w:ascii="Palatino Linotype" w:hAnsi="Palatino Linotype" w:cs="Arial"/>
          <w:sz w:val="24"/>
          <w:szCs w:val="24"/>
        </w:rPr>
        <w:lastRenderedPageBreak/>
        <w:t>consentidos</w:t>
      </w:r>
      <w:r w:rsidR="006D268B" w:rsidRPr="009A5396">
        <w:rPr>
          <w:rFonts w:ascii="Palatino Linotype" w:hAnsi="Palatino Linotype" w:cs="Arial"/>
          <w:sz w:val="24"/>
          <w:szCs w:val="24"/>
        </w:rPr>
        <w:t>”</w:t>
      </w:r>
      <w:r w:rsidRPr="009A5396">
        <w:rPr>
          <w:rFonts w:ascii="Palatino Linotype" w:hAnsi="Palatino Linotype" w:cs="Arial"/>
          <w:sz w:val="24"/>
          <w:szCs w:val="24"/>
        </w:rPr>
        <w:t>, tal y como se observa en las siguientes líneas de la resolución en comento:</w:t>
      </w:r>
    </w:p>
    <w:p w:rsidR="008702E8" w:rsidRPr="00FE6326" w:rsidRDefault="008702E8" w:rsidP="00FE6326">
      <w:pPr>
        <w:pStyle w:val="Prrafodelista"/>
        <w:spacing w:line="240" w:lineRule="auto"/>
        <w:rPr>
          <w:rFonts w:ascii="Palatino Linotype" w:hAnsi="Palatino Linotype" w:cs="Arial"/>
          <w:sz w:val="2"/>
          <w:szCs w:val="24"/>
        </w:rPr>
      </w:pPr>
    </w:p>
    <w:p w:rsidR="005C4833" w:rsidRPr="005C4833" w:rsidRDefault="0069498B" w:rsidP="000D1692">
      <w:pPr>
        <w:spacing w:line="276" w:lineRule="auto"/>
        <w:ind w:left="567" w:right="616"/>
        <w:jc w:val="both"/>
        <w:rPr>
          <w:rFonts w:ascii="Palatino Linotype" w:eastAsia="Calibri" w:hAnsi="Palatino Linotype" w:cs="Tahoma"/>
          <w:i/>
          <w:iCs/>
          <w:lang w:val="es-ES" w:eastAsia="es-ES_tradnl"/>
        </w:rPr>
      </w:pPr>
      <w:r w:rsidRPr="009D2892">
        <w:rPr>
          <w:rFonts w:ascii="Palatino Linotype" w:hAnsi="Palatino Linotype" w:cs="Arial"/>
          <w:i/>
        </w:rPr>
        <w:t>“</w:t>
      </w:r>
      <w:r w:rsidR="005C4833" w:rsidRPr="005C4833">
        <w:rPr>
          <w:rFonts w:ascii="Palatino Linotype" w:eastAsia="Calibri" w:hAnsi="Palatino Linotype" w:cs="Tahoma"/>
          <w:i/>
          <w:iCs/>
          <w:lang w:val="es-ES" w:eastAsia="es-ES_tradnl"/>
        </w:rPr>
        <w:t>En primer término, conviene precisar que derivado de las razones y motivos de inconformidad expresados por EL RECURRENTE esta Ponencia Resolutora no advierte que se inconforme respecto de la información proporcionada en respuesta a la solicitud de información identificadas en el presente estudio con el incisos b) referente a la Certificación expedida por el Instituto Hacendario del Estado para desempeñar las funciones de la Secretaría del Ayuntamiento; por lo que, en razón de no haber expresado su intención de controvertir la información que le fue entregada por EL SUJETO OBLIGADO, debe entenderse que los aspectos no combatidos fueron colmados a su entera satisfacción.</w:t>
      </w:r>
    </w:p>
    <w:p w:rsidR="005C4833" w:rsidRPr="005C4833" w:rsidRDefault="005C4833" w:rsidP="000D1692">
      <w:pPr>
        <w:spacing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Sirve de apoyo a lo anterior, por analogía la Tesis Jurisprudencial Número 3ª./</w:t>
      </w:r>
      <w:proofErr w:type="spellStart"/>
      <w:r w:rsidRPr="005C4833">
        <w:rPr>
          <w:rFonts w:ascii="Palatino Linotype" w:eastAsia="Calibri" w:hAnsi="Palatino Linotype" w:cs="Tahoma"/>
          <w:i/>
          <w:iCs/>
          <w:lang w:val="es-ES" w:eastAsia="es-ES_tradnl"/>
        </w:rPr>
        <w:t>J.7</w:t>
      </w:r>
      <w:proofErr w:type="spellEnd"/>
      <w:r w:rsidRPr="005C4833">
        <w:rPr>
          <w:rFonts w:ascii="Palatino Linotype" w:eastAsia="Calibri" w:hAnsi="Palatino Linotype" w:cs="Tahoma"/>
          <w:i/>
          <w:iCs/>
          <w:lang w:val="es-ES" w:eastAsia="es-ES_tradnl"/>
        </w:rPr>
        <w:t>/91, Publicada en el Semanario Judicial de la Federación y su Gaceta bajo el número de registro 174,177, que establece lo siguiente:</w:t>
      </w:r>
    </w:p>
    <w:p w:rsidR="005C4833" w:rsidRPr="005C4833" w:rsidRDefault="005C4833" w:rsidP="000D1692">
      <w:pPr>
        <w:spacing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Amparo en revisión 1475/2005. María del Consuelo Buendía Ramírez. 7 de diciembre de 2005. Cinco votos. Ponente: Sergio A. Valls Hernández. Secretario: Gustavo Ruiz Padilla.</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 xml:space="preserve">Amparo en revisión 168/2006. Leticia Fernández Mañón. </w:t>
      </w:r>
      <w:proofErr w:type="spellStart"/>
      <w:r w:rsidRPr="005C4833">
        <w:rPr>
          <w:rFonts w:ascii="Palatino Linotype" w:eastAsia="Calibri" w:hAnsi="Palatino Linotype" w:cs="Tahoma"/>
          <w:i/>
          <w:iCs/>
          <w:lang w:val="es-ES" w:eastAsia="es-ES_tradnl"/>
        </w:rPr>
        <w:t>1o</w:t>
      </w:r>
      <w:proofErr w:type="spellEnd"/>
      <w:r w:rsidRPr="005C4833">
        <w:rPr>
          <w:rFonts w:ascii="Palatino Linotype" w:eastAsia="Calibri" w:hAnsi="Palatino Linotype" w:cs="Tahoma"/>
          <w:i/>
          <w:iCs/>
          <w:lang w:val="es-ES" w:eastAsia="es-ES_tradnl"/>
        </w:rPr>
        <w:t>. de marzo de 2006. Cinco votos. Ponente: Juan N. Silva Meza. Secretario: Jaime Flores Cruz.</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lastRenderedPageBreak/>
        <w:t>Amparo en revisión 235/2006. Jorge González Gallegos. 15 de marzo de 2006. Cinco votos. Ponente: Juan N. Silva Meza. Secretario: Jaime Flores Cruz.</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Amparo en revisión 394/2006. Elia Margarita Flores Jarquín. 29 de marzo de 2006. Unanimidad de cuatro votos. Ausente: Olga Sánchez Cordero de García Villegas. Ponente: Juan N. Silva Meza. Secretario: Jaime Flores Cruz.</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Amparo en revisión 1179/2006. Ernesto Orlando Ortiz Vázquez. 16 de agosto de 2006. Cinco votos. Ponente: José de Jesús Gudiño Pelayo. Secretario: José de Jesús Bañales Sánchez.</w:t>
      </w:r>
    </w:p>
    <w:p w:rsidR="005C4833" w:rsidRPr="005C4833" w:rsidRDefault="005C4833" w:rsidP="000D1692">
      <w:pPr>
        <w:spacing w:after="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Tesis de jurisprudencia 62/2006. Aprobada por la Primera Sala de este Alto Tribunal, en sesión de treinta de agosto de dos mil seis.”</w:t>
      </w:r>
    </w:p>
    <w:p w:rsidR="005C4833" w:rsidRPr="005C4833" w:rsidRDefault="005C4833" w:rsidP="005C4833">
      <w:pPr>
        <w:spacing w:before="240"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 xml:space="preserve">En consecuencia, el contenido de la información otorgada en respuesta a la solicitud identificada con el inciso b) y que no fueron impugnados por EL RECURRENTE deben declararse consentidos, toda vez que no se realizaron manifestaciones de inconformidad, por lo que no puede producir efectos jurídicos tendentes a revocarlos, confirmarlos o modificarlos, ya que se infiere respecto a éstos un consentimiento del RECURRENTE, ante la falta de impugnación eficaz. Sirve de sustento por analogía, la tesis jurisprudencial número </w:t>
      </w:r>
      <w:proofErr w:type="spellStart"/>
      <w:r w:rsidRPr="005C4833">
        <w:rPr>
          <w:rFonts w:ascii="Palatino Linotype" w:eastAsia="Calibri" w:hAnsi="Palatino Linotype" w:cs="Tahoma"/>
          <w:i/>
          <w:iCs/>
          <w:lang w:val="es-ES" w:eastAsia="es-ES_tradnl"/>
        </w:rPr>
        <w:t>VI.3o.C</w:t>
      </w:r>
      <w:proofErr w:type="spellEnd"/>
      <w:r w:rsidRPr="005C4833">
        <w:rPr>
          <w:rFonts w:ascii="Palatino Linotype" w:eastAsia="Calibri" w:hAnsi="Palatino Linotype" w:cs="Tahoma"/>
          <w:i/>
          <w:iCs/>
          <w:lang w:val="es-ES" w:eastAsia="es-ES_tradnl"/>
        </w:rPr>
        <w:t>. J/60, publicada en el Semanario Judicial de la Federación y su Gaceta bajo el número de registro 176,608 que a la letra dice:</w:t>
      </w:r>
    </w:p>
    <w:p w:rsidR="005C4833" w:rsidRPr="005C4833" w:rsidRDefault="005C4833" w:rsidP="005C4833">
      <w:pPr>
        <w:spacing w:line="276" w:lineRule="auto"/>
        <w:ind w:left="567" w:right="616"/>
        <w:jc w:val="both"/>
        <w:rPr>
          <w:rFonts w:ascii="Palatino Linotype" w:eastAsia="Calibri" w:hAnsi="Palatino Linotype" w:cs="Tahoma"/>
          <w:i/>
          <w:iCs/>
          <w:lang w:val="es-ES" w:eastAsia="es-ES_tradnl"/>
        </w:rPr>
      </w:pPr>
      <w:r w:rsidRPr="005C4833">
        <w:rPr>
          <w:rFonts w:ascii="Palatino Linotype" w:eastAsia="Calibri" w:hAnsi="Palatino Linotype" w:cs="Tahoma"/>
          <w:i/>
          <w:iCs/>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66140" w:rsidRPr="005C4833" w:rsidRDefault="00166140" w:rsidP="00166140">
      <w:pPr>
        <w:spacing w:after="0" w:line="240" w:lineRule="auto"/>
        <w:ind w:left="567" w:right="616"/>
        <w:jc w:val="both"/>
        <w:rPr>
          <w:rFonts w:ascii="Palatino Linotype" w:eastAsia="Calibri" w:hAnsi="Palatino Linotype" w:cs="Tahoma"/>
          <w:i/>
          <w:iCs/>
          <w:lang w:val="es-ES" w:eastAsia="es-ES_tradnl"/>
        </w:rPr>
      </w:pPr>
    </w:p>
    <w:p w:rsidR="00BF2070" w:rsidRDefault="008460C4" w:rsidP="005C4833">
      <w:pPr>
        <w:pStyle w:val="Prrafodelista"/>
        <w:numPr>
          <w:ilvl w:val="0"/>
          <w:numId w:val="1"/>
        </w:numPr>
        <w:spacing w:after="0" w:line="360" w:lineRule="auto"/>
        <w:ind w:left="0" w:right="-93" w:firstLine="0"/>
        <w:jc w:val="both"/>
        <w:rPr>
          <w:rFonts w:ascii="Palatino Linotype" w:hAnsi="Palatino Linotype" w:cs="Arial"/>
          <w:sz w:val="24"/>
          <w:szCs w:val="24"/>
        </w:rPr>
      </w:pPr>
      <w:r w:rsidRPr="005C4833">
        <w:rPr>
          <w:rFonts w:ascii="Palatino Linotype" w:hAnsi="Palatino Linotype" w:cs="Arial"/>
          <w:sz w:val="24"/>
          <w:szCs w:val="24"/>
        </w:rPr>
        <w:t>He de manifestar que han sido varias las ocasiones en las que formulo votos particulares</w:t>
      </w:r>
      <w:r w:rsidR="00346358" w:rsidRPr="005C4833">
        <w:rPr>
          <w:rFonts w:ascii="Palatino Linotype" w:hAnsi="Palatino Linotype" w:cs="Arial"/>
          <w:sz w:val="24"/>
          <w:szCs w:val="24"/>
        </w:rPr>
        <w:t>,</w:t>
      </w:r>
      <w:r w:rsidRPr="005C4833">
        <w:rPr>
          <w:rFonts w:ascii="Palatino Linotype" w:hAnsi="Palatino Linotype" w:cs="Arial"/>
          <w:sz w:val="24"/>
          <w:szCs w:val="24"/>
        </w:rPr>
        <w:t xml:space="preserve"> porque en el estudio de los proyectos de resolución mencionan los llamados </w:t>
      </w:r>
      <w:r w:rsidRPr="005C4833">
        <w:rPr>
          <w:rFonts w:ascii="Palatino Linotype" w:hAnsi="Palatino Linotype" w:cs="Arial"/>
          <w:b/>
          <w:i/>
          <w:sz w:val="24"/>
          <w:szCs w:val="24"/>
        </w:rPr>
        <w:t xml:space="preserve">“actos consentidos”, </w:t>
      </w:r>
      <w:r w:rsidRPr="005C4833">
        <w:rPr>
          <w:rFonts w:ascii="Palatino Linotype" w:hAnsi="Palatino Linotype" w:cs="Arial"/>
          <w:sz w:val="24"/>
          <w:szCs w:val="24"/>
        </w:rPr>
        <w:t xml:space="preserve">sin embargo, en este caso en particular, difiero con </w:t>
      </w:r>
      <w:r w:rsidRPr="005C4833">
        <w:rPr>
          <w:rFonts w:ascii="Palatino Linotype" w:hAnsi="Palatino Linotype" w:cs="Arial"/>
          <w:sz w:val="24"/>
          <w:szCs w:val="24"/>
        </w:rPr>
        <w:lastRenderedPageBreak/>
        <w:t>mayor fuerza toda vez que lo que el Comisionado Ponente y mis demás compañeros Comisionados que integran el Pleno de este Órgano Garante</w:t>
      </w:r>
      <w:r w:rsidR="00346358" w:rsidRPr="005C4833">
        <w:rPr>
          <w:rFonts w:ascii="Palatino Linotype" w:hAnsi="Palatino Linotype" w:cs="Arial"/>
          <w:sz w:val="24"/>
          <w:szCs w:val="24"/>
        </w:rPr>
        <w:t xml:space="preserve">, </w:t>
      </w:r>
      <w:r w:rsidR="005C4833">
        <w:rPr>
          <w:rFonts w:ascii="Palatino Linotype" w:hAnsi="Palatino Linotype" w:cs="Arial"/>
          <w:sz w:val="24"/>
          <w:szCs w:val="24"/>
        </w:rPr>
        <w:t xml:space="preserve">ya que si bien, la recurrente no se inconforma de uno de los puntos, también lo es que el </w:t>
      </w:r>
      <w:r w:rsidR="005C4833" w:rsidRPr="005C4833">
        <w:rPr>
          <w:rFonts w:ascii="Palatino Linotype" w:hAnsi="Palatino Linotype" w:cs="Arial"/>
          <w:b/>
          <w:sz w:val="24"/>
          <w:szCs w:val="24"/>
        </w:rPr>
        <w:t>SUJETO OBLIGADO</w:t>
      </w:r>
      <w:r w:rsidR="005C4833">
        <w:rPr>
          <w:rFonts w:ascii="Palatino Linotype" w:hAnsi="Palatino Linotype" w:cs="Arial"/>
          <w:sz w:val="24"/>
          <w:szCs w:val="24"/>
        </w:rPr>
        <w:t xml:space="preserve"> sí remitió dicha información, razón por la cual no son aplicables los actos consentidos. </w:t>
      </w:r>
    </w:p>
    <w:p w:rsidR="005C4833" w:rsidRPr="005C4833" w:rsidRDefault="005C4833" w:rsidP="005C4833">
      <w:pPr>
        <w:pStyle w:val="Prrafodelista"/>
        <w:spacing w:before="240" w:after="240" w:line="240" w:lineRule="auto"/>
        <w:ind w:left="360" w:right="49"/>
        <w:jc w:val="both"/>
        <w:rPr>
          <w:rFonts w:ascii="Palatino Linotype" w:hAnsi="Palatino Linotype" w:cs="Arial"/>
          <w:sz w:val="24"/>
          <w:szCs w:val="24"/>
        </w:rPr>
      </w:pPr>
    </w:p>
    <w:p w:rsidR="000D1692" w:rsidRPr="000D1692"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Derivado de lo transcrito con anterioridad, considero que la</w:t>
      </w:r>
      <w:r w:rsidR="00260D6C" w:rsidRPr="009A5396">
        <w:rPr>
          <w:rFonts w:ascii="Palatino Linotype" w:hAnsi="Palatino Linotype" w:cs="Arial"/>
          <w:sz w:val="24"/>
          <w:szCs w:val="24"/>
        </w:rPr>
        <w:t xml:space="preserve"> incorporación de </w:t>
      </w:r>
      <w:r w:rsidR="00260D6C" w:rsidRPr="00166140">
        <w:rPr>
          <w:rFonts w:ascii="Palatino Linotype" w:hAnsi="Palatino Linotype" w:cs="Arial"/>
          <w:sz w:val="24"/>
          <w:szCs w:val="24"/>
        </w:rPr>
        <w:t>dicho</w:t>
      </w:r>
      <w:r w:rsidR="00260D6C" w:rsidRPr="009A5396">
        <w:rPr>
          <w:rFonts w:ascii="Palatino Linotype" w:hAnsi="Palatino Linotype" w:cs="Arial"/>
          <w:sz w:val="24"/>
          <w:szCs w:val="24"/>
        </w:rPr>
        <w:t xml:space="preserve"> argumento</w:t>
      </w:r>
      <w:r w:rsidRPr="009A5396">
        <w:rPr>
          <w:rFonts w:ascii="Palatino Linotype" w:hAnsi="Palatino Linotype" w:cs="Arial"/>
          <w:sz w:val="24"/>
          <w:szCs w:val="24"/>
        </w:rPr>
        <w:t xml:space="preserve"> en la resolución en comento resulta a todas luces innecesari</w:t>
      </w:r>
      <w:r w:rsidR="00E61AB8" w:rsidRPr="009A5396">
        <w:rPr>
          <w:rFonts w:ascii="Palatino Linotype" w:hAnsi="Palatino Linotype" w:cs="Arial"/>
          <w:sz w:val="24"/>
          <w:szCs w:val="24"/>
        </w:rPr>
        <w:t xml:space="preserve">o y además no da </w:t>
      </w:r>
      <w:r w:rsidRPr="009A5396">
        <w:rPr>
          <w:rFonts w:ascii="Palatino Linotype" w:hAnsi="Palatino Linotype" w:cs="Arial"/>
          <w:sz w:val="24"/>
          <w:szCs w:val="24"/>
        </w:rPr>
        <w:t>lugar a invocarlos en el derecho humano fundamental de acceder a la información pública gubernamental.</w:t>
      </w:r>
      <w:r w:rsidRPr="009A5396">
        <w:rPr>
          <w:rFonts w:ascii="Palatino Linotype" w:eastAsia="Calibri" w:hAnsi="Palatino Linotype" w:cs="Times New Roman"/>
          <w:sz w:val="24"/>
          <w:szCs w:val="24"/>
          <w:lang w:val="es-ES" w:eastAsia="es-ES"/>
        </w:rPr>
        <w:t xml:space="preserve"> </w:t>
      </w:r>
    </w:p>
    <w:p w:rsidR="000D1692" w:rsidRPr="000D1692" w:rsidRDefault="000D1692" w:rsidP="000D1692">
      <w:pPr>
        <w:pStyle w:val="Prrafodelista"/>
        <w:rPr>
          <w:rFonts w:ascii="Palatino Linotype" w:eastAsia="Calibri" w:hAnsi="Palatino Linotype" w:cs="Times New Roman"/>
          <w:sz w:val="24"/>
          <w:szCs w:val="24"/>
          <w:lang w:val="es-ES" w:eastAsia="es-ES"/>
        </w:rPr>
      </w:pPr>
    </w:p>
    <w:p w:rsidR="0046491C" w:rsidRPr="009A5396" w:rsidRDefault="000D1692"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eastAsia="Calibri" w:hAnsi="Palatino Linotype" w:cs="Times New Roman"/>
          <w:sz w:val="24"/>
          <w:szCs w:val="24"/>
          <w:lang w:val="es-ES" w:eastAsia="es-ES"/>
        </w:rPr>
        <w:t xml:space="preserve">Si bien, </w:t>
      </w:r>
      <w:r w:rsidR="0046491C" w:rsidRPr="009A5396">
        <w:rPr>
          <w:rFonts w:ascii="Palatino Linotype" w:eastAsia="Calibri" w:hAnsi="Palatino Linotype" w:cs="Times New Roman"/>
          <w:sz w:val="24"/>
          <w:szCs w:val="24"/>
          <w:lang w:val="es-ES" w:eastAsia="es-ES"/>
        </w:rPr>
        <w:t>la mayoría consideró que la respuesta quedó firme ante la falta de impugnación respecto al resto de los requerimientos que no fueron manifest</w:t>
      </w:r>
      <w:r>
        <w:rPr>
          <w:rFonts w:ascii="Palatino Linotype" w:eastAsia="Calibri" w:hAnsi="Palatino Linotype" w:cs="Times New Roman"/>
          <w:sz w:val="24"/>
          <w:szCs w:val="24"/>
          <w:lang w:val="es-ES" w:eastAsia="es-ES"/>
        </w:rPr>
        <w:t>ados en el recurso de revisión, también lo es que e</w:t>
      </w:r>
      <w:r w:rsidR="0046491C" w:rsidRPr="009A5396">
        <w:rPr>
          <w:rFonts w:ascii="Palatino Linotype" w:eastAsia="Calibri" w:hAnsi="Palatino Linotype" w:cs="Times New Roman"/>
          <w:sz w:val="24"/>
          <w:szCs w:val="24"/>
          <w:lang w:val="es-ES" w:eastAsia="es-ES"/>
        </w:rPr>
        <w:t xml:space="preserve">n el presente asunto que nos ocupa, es de señalar que del análisis hecho a la resolución en comento, no se discute que el </w:t>
      </w:r>
      <w:r w:rsidR="0046491C" w:rsidRPr="009A5396">
        <w:rPr>
          <w:rFonts w:ascii="Palatino Linotype" w:eastAsia="Calibri" w:hAnsi="Palatino Linotype" w:cs="Times New Roman"/>
          <w:b/>
          <w:sz w:val="24"/>
          <w:szCs w:val="24"/>
          <w:lang w:val="es-ES" w:eastAsia="es-ES"/>
        </w:rPr>
        <w:t>SUJETO OBLIGADO</w:t>
      </w:r>
      <w:r w:rsidR="0046491C" w:rsidRPr="009A5396">
        <w:rPr>
          <w:rFonts w:ascii="Palatino Linotype" w:eastAsia="Calibri" w:hAnsi="Palatino Linotype" w:cs="Times New Roman"/>
          <w:sz w:val="24"/>
          <w:szCs w:val="24"/>
          <w:lang w:val="es-ES" w:eastAsia="es-ES"/>
        </w:rPr>
        <w:t xml:space="preserve"> ha dado respuesta a la solicitud de información</w:t>
      </w:r>
      <w:r w:rsidR="00260D6C" w:rsidRPr="009A5396">
        <w:rPr>
          <w:rFonts w:ascii="Palatino Linotype" w:eastAsia="Calibri" w:hAnsi="Palatino Linotype" w:cs="Times New Roman"/>
          <w:sz w:val="24"/>
          <w:szCs w:val="24"/>
          <w:lang w:val="es-ES" w:eastAsia="es-ES"/>
        </w:rPr>
        <w:t xml:space="preserve"> en lo particular</w:t>
      </w:r>
      <w:r w:rsidR="0046491C" w:rsidRPr="009A5396">
        <w:rPr>
          <w:rFonts w:ascii="Palatino Linotype" w:eastAsia="Calibri" w:hAnsi="Palatino Linotype" w:cs="Times New Roman"/>
          <w:sz w:val="24"/>
          <w:szCs w:val="24"/>
          <w:lang w:val="es-ES" w:eastAsia="es-ES"/>
        </w:rPr>
        <w:t>, t</w:t>
      </w:r>
      <w:r w:rsidR="00260D6C" w:rsidRPr="009A5396">
        <w:rPr>
          <w:rFonts w:ascii="Palatino Linotype" w:eastAsia="Calibri" w:hAnsi="Palatino Linotype" w:cs="Times New Roman"/>
          <w:sz w:val="24"/>
          <w:szCs w:val="24"/>
          <w:lang w:val="es-ES" w:eastAsia="es-ES"/>
        </w:rPr>
        <w:t xml:space="preserve">an es así que al analizar la respuesta emitida se concluyó que colmó con </w:t>
      </w:r>
      <w:r w:rsidR="0046491C" w:rsidRPr="009A5396">
        <w:rPr>
          <w:rFonts w:ascii="Palatino Linotype" w:eastAsia="Calibri" w:hAnsi="Palatino Linotype" w:cs="Times New Roman"/>
          <w:sz w:val="24"/>
          <w:szCs w:val="24"/>
          <w:lang w:val="es-ES" w:eastAsia="es-ES"/>
        </w:rPr>
        <w:t xml:space="preserve">el derecho de acceso a la información, </w:t>
      </w:r>
      <w:r w:rsidR="00260D6C" w:rsidRPr="009A5396">
        <w:rPr>
          <w:rFonts w:ascii="Palatino Linotype" w:eastAsia="Calibri" w:hAnsi="Palatino Linotype" w:cs="Times New Roman"/>
          <w:sz w:val="24"/>
          <w:szCs w:val="24"/>
          <w:lang w:val="es-ES" w:eastAsia="es-ES"/>
        </w:rPr>
        <w:t xml:space="preserve">lo que en mi parecer </w:t>
      </w:r>
      <w:r w:rsidR="0046491C" w:rsidRPr="009A5396">
        <w:rPr>
          <w:rFonts w:ascii="Palatino Linotype" w:eastAsia="Calibri" w:hAnsi="Palatino Linotype" w:cs="Times New Roman"/>
          <w:sz w:val="24"/>
          <w:szCs w:val="24"/>
          <w:lang w:val="es-ES" w:eastAsia="es-ES"/>
        </w:rPr>
        <w:t>considero, es innecesario señalar</w:t>
      </w:r>
      <w:r w:rsidR="00194B6A" w:rsidRPr="009A539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9A5396">
        <w:rPr>
          <w:rFonts w:ascii="Palatino Linotype" w:eastAsia="Calibri" w:hAnsi="Palatino Linotype" w:cs="Times New Roman"/>
          <w:sz w:val="24"/>
          <w:szCs w:val="24"/>
          <w:lang w:val="es-ES" w:eastAsia="es-ES"/>
        </w:rPr>
        <w:t>rlo invocando el multicitado argumento de</w:t>
      </w:r>
      <w:r w:rsidR="00194B6A" w:rsidRPr="009A5396">
        <w:rPr>
          <w:rFonts w:ascii="Palatino Linotype" w:eastAsia="Calibri" w:hAnsi="Palatino Linotype" w:cs="Times New Roman"/>
          <w:sz w:val="24"/>
          <w:szCs w:val="24"/>
          <w:lang w:val="es-ES" w:eastAsia="es-ES"/>
        </w:rPr>
        <w:t xml:space="preserve"> actos consentidos.</w:t>
      </w: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2" w:name="_Toc534985164"/>
      <w:r w:rsidRPr="00072966">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FE6326" w:rsidRPr="00FE6326" w:rsidRDefault="00FE6326" w:rsidP="00FE6326">
      <w:pPr>
        <w:spacing w:line="240" w:lineRule="auto"/>
        <w:rPr>
          <w:sz w:val="2"/>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FE6326">
      <w:pPr>
        <w:pStyle w:val="Prrafodelista"/>
        <w:spacing w:after="0" w:line="240" w:lineRule="auto"/>
        <w:ind w:left="426"/>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w:t>
      </w:r>
      <w:r w:rsidRPr="00072966">
        <w:rPr>
          <w:rFonts w:ascii="Palatino Linotype" w:hAnsi="Palatino Linotype" w:cs="Arial"/>
          <w:sz w:val="24"/>
          <w:szCs w:val="24"/>
        </w:rPr>
        <w:lastRenderedPageBreak/>
        <w:t>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FE6326">
      <w:pPr>
        <w:pStyle w:val="Prrafodelista"/>
        <w:spacing w:line="240" w:lineRule="auto"/>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FE6326">
      <w:pPr>
        <w:spacing w:after="0" w:line="240" w:lineRule="auto"/>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 xml:space="preserve">garantía de los </w:t>
      </w:r>
      <w:r w:rsidRPr="00072966">
        <w:rPr>
          <w:rFonts w:ascii="Palatino Linotype" w:hAnsi="Palatino Linotype" w:cs="Arial"/>
          <w:b/>
          <w:sz w:val="24"/>
          <w:szCs w:val="24"/>
        </w:rPr>
        <w:lastRenderedPageBreak/>
        <w:t>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FE6326">
      <w:pPr>
        <w:spacing w:after="0" w:line="240" w:lineRule="auto"/>
        <w:jc w:val="both"/>
        <w:rPr>
          <w:rFonts w:ascii="Palatino Linotype" w:hAnsi="Palatino Linotype" w:cs="Arial"/>
          <w:sz w:val="24"/>
          <w:szCs w:val="24"/>
        </w:rPr>
      </w:pPr>
    </w:p>
    <w:p w:rsidR="0046491C"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FE6326" w:rsidRPr="00FE6326" w:rsidRDefault="00FE6326" w:rsidP="00166140">
      <w:pPr>
        <w:pStyle w:val="Prrafodelista"/>
        <w:spacing w:after="0" w:line="240" w:lineRule="auto"/>
        <w:ind w:left="0"/>
        <w:jc w:val="both"/>
        <w:rPr>
          <w:rFonts w:ascii="Palatino Linotype" w:hAnsi="Palatino Linotype" w:cs="Arial"/>
          <w:sz w:val="10"/>
          <w:szCs w:val="24"/>
        </w:rPr>
      </w:pPr>
    </w:p>
    <w:p w:rsidR="0046491C" w:rsidRPr="00166140" w:rsidRDefault="0046491C" w:rsidP="00166140">
      <w:pPr>
        <w:spacing w:after="240" w:line="276" w:lineRule="auto"/>
        <w:ind w:left="567" w:right="616"/>
        <w:jc w:val="both"/>
        <w:rPr>
          <w:rFonts w:ascii="Palatino Linotype" w:hAnsi="Palatino Linotype" w:cs="Arial"/>
          <w:i/>
        </w:rPr>
      </w:pPr>
      <w:r w:rsidRPr="00166140">
        <w:rPr>
          <w:rFonts w:ascii="Palatino Linotype" w:hAnsi="Palatino Linotype" w:cs="Arial"/>
          <w:i/>
        </w:rPr>
        <w:t xml:space="preserve">“Queda claro, </w:t>
      </w:r>
      <w:r w:rsidRPr="00166140">
        <w:rPr>
          <w:rFonts w:ascii="Palatino Linotype" w:eastAsia="Calibri" w:hAnsi="Palatino Linotype" w:cs="Tahoma"/>
          <w:i/>
          <w:iCs/>
          <w:lang w:val="es-ES" w:eastAsia="es-ES_tradnl"/>
        </w:rPr>
        <w:t>en</w:t>
      </w:r>
      <w:r w:rsidRPr="00166140">
        <w:rPr>
          <w:rFonts w:ascii="Palatino Linotype" w:hAnsi="Palatino Linotype" w:cs="Arial"/>
          <w:i/>
        </w:rPr>
        <w:t xml:space="preserve"> consecuencia, que las obligaciones de promoción, respeto, protección y garantía de los derechos corren a cargo de todos los poderes, incluso </w:t>
      </w:r>
      <w:r w:rsidRPr="00166140">
        <w:rPr>
          <w:rFonts w:ascii="Palatino Linotype" w:hAnsi="Palatino Linotype" w:cs="Arial"/>
          <w:b/>
          <w:i/>
        </w:rPr>
        <w:t>considerando que algún nivel de gobierno tenga obligaciones reforzadas hacia ciertos derechos.</w:t>
      </w:r>
      <w:r w:rsidRPr="00166140">
        <w:rPr>
          <w:rFonts w:ascii="Palatino Linotype" w:hAnsi="Palatino Linotype" w:cs="Arial"/>
          <w:i/>
        </w:rPr>
        <w:t xml:space="preserve"> A partir de tales deberes generales, podemos afirmar que las autoridades de todos los niveles de gobierno también tienen la obligación positiva de </w:t>
      </w:r>
      <w:r w:rsidRPr="00166140">
        <w:rPr>
          <w:rFonts w:ascii="Palatino Linotype" w:hAnsi="Palatino Linotype" w:cs="Arial"/>
          <w:b/>
          <w:i/>
        </w:rPr>
        <w:t>tomar todas las medidas que sean pertinentes para tutelar y hacer eficaz un derecho</w:t>
      </w:r>
      <w:r w:rsidRPr="00166140">
        <w:rPr>
          <w:rFonts w:ascii="Palatino Linotype" w:hAnsi="Palatino Linotype" w:cs="Arial"/>
          <w:i/>
        </w:rPr>
        <w:t>”.</w:t>
      </w:r>
      <w:r w:rsidRPr="00166140">
        <w:rPr>
          <w:rStyle w:val="Refdenotaalpie"/>
          <w:rFonts w:ascii="Palatino Linotype" w:hAnsi="Palatino Linotype" w:cs="Arial"/>
          <w:i/>
        </w:rPr>
        <w:footnoteReference w:id="3"/>
      </w:r>
    </w:p>
    <w:p w:rsidR="00FE6326" w:rsidRPr="00166140" w:rsidRDefault="00FE6326" w:rsidP="00166140">
      <w:pPr>
        <w:pStyle w:val="Prrafodelista"/>
        <w:spacing w:after="0" w:line="240" w:lineRule="auto"/>
        <w:ind w:left="426"/>
        <w:jc w:val="both"/>
        <w:rPr>
          <w:rFonts w:ascii="Palatino Linotype" w:hAnsi="Palatino Linotype" w:cs="Arial"/>
          <w:sz w:val="12"/>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FE6326">
      <w:pPr>
        <w:pStyle w:val="Prrafodelista"/>
        <w:spacing w:after="0" w:line="240" w:lineRule="auto"/>
        <w:jc w:val="both"/>
        <w:rPr>
          <w:rFonts w:ascii="Palatino Linotype" w:hAnsi="Palatino Linotype" w:cs="Arial"/>
          <w:sz w:val="24"/>
          <w:szCs w:val="24"/>
        </w:rPr>
      </w:pPr>
    </w:p>
    <w:p w:rsidR="0046491C" w:rsidRPr="00043805" w:rsidRDefault="0046491C" w:rsidP="00166140">
      <w:pPr>
        <w:pStyle w:val="Prrafodelista"/>
        <w:numPr>
          <w:ilvl w:val="0"/>
          <w:numId w:val="1"/>
        </w:numPr>
        <w:spacing w:after="0" w:line="360" w:lineRule="auto"/>
        <w:ind w:left="0" w:right="-93" w:firstLine="0"/>
        <w:jc w:val="both"/>
        <w:rPr>
          <w:rFonts w:ascii="Palatino Linotype" w:hAnsi="Palatino Linotype" w:cs="Arial"/>
          <w:szCs w:val="24"/>
        </w:rPr>
      </w:pPr>
      <w:r w:rsidRPr="00072966">
        <w:rPr>
          <w:rFonts w:ascii="Palatino Linotype" w:hAnsi="Palatino Linotype" w:cs="Arial"/>
          <w:sz w:val="24"/>
          <w:szCs w:val="24"/>
        </w:rPr>
        <w:t xml:space="preserve"> </w:t>
      </w:r>
      <w:r w:rsidRPr="009A5396">
        <w:rPr>
          <w:rFonts w:ascii="Palatino Linotype" w:hAnsi="Palatino Linotype" w:cs="Arial"/>
          <w:sz w:val="24"/>
          <w:szCs w:val="24"/>
        </w:rPr>
        <w:t xml:space="preserve">Enfrentar este silencio  u omisión de los particulares a inconformarse por algún punto o requerimiento de origen solicitado, cuando es evidente que no le fue </w:t>
      </w:r>
      <w:r w:rsidRPr="009A5396">
        <w:rPr>
          <w:rFonts w:ascii="Palatino Linotype" w:hAnsi="Palatino Linotype" w:cs="Arial"/>
          <w:sz w:val="24"/>
          <w:szCs w:val="24"/>
        </w:rPr>
        <w:lastRenderedPageBreak/>
        <w:t>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FE6326">
      <w:pPr>
        <w:pStyle w:val="Prrafodelista"/>
        <w:spacing w:line="240" w:lineRule="auto"/>
        <w:jc w:val="both"/>
        <w:rPr>
          <w:rFonts w:ascii="Palatino Linotype" w:hAnsi="Palatino Linotype" w:cs="Arial"/>
          <w:sz w:val="24"/>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9A5396">
        <w:rPr>
          <w:rFonts w:ascii="Palatino Linotype" w:hAnsi="Palatino Linotype" w:cs="Arial"/>
          <w:sz w:val="24"/>
          <w:szCs w:val="24"/>
        </w:rPr>
        <w:t>Cotta</w:t>
      </w:r>
      <w:proofErr w:type="spellEnd"/>
      <w:r w:rsidRPr="009A5396">
        <w:rPr>
          <w:rFonts w:ascii="Palatino Linotype" w:hAnsi="Palatino Linotype" w:cs="Arial"/>
          <w:sz w:val="24"/>
          <w:szCs w:val="24"/>
        </w:rPr>
        <w:t xml:space="preserve"> que “la obligatoriedad de la norma depende de la validez de su justificación, que es, por consiguiente el fundamento de aquella”,</w:t>
      </w:r>
      <w:r w:rsidRPr="009A5396">
        <w:rPr>
          <w:rStyle w:val="Refdenotaalpie"/>
          <w:rFonts w:ascii="Palatino Linotype" w:hAnsi="Palatino Linotype" w:cs="Arial"/>
          <w:sz w:val="24"/>
          <w:szCs w:val="24"/>
        </w:rPr>
        <w:footnoteReference w:id="4"/>
      </w:r>
      <w:r w:rsidRPr="009A539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9A5396" w:rsidRDefault="0046491C" w:rsidP="00FE6326">
      <w:pPr>
        <w:pStyle w:val="Prrafodelista"/>
        <w:spacing w:line="240" w:lineRule="auto"/>
        <w:jc w:val="both"/>
        <w:rPr>
          <w:rFonts w:ascii="Palatino Linotype" w:hAnsi="Palatino Linotype" w:cs="Arial"/>
          <w:sz w:val="24"/>
          <w:szCs w:val="24"/>
        </w:rPr>
      </w:pPr>
    </w:p>
    <w:p w:rsidR="00FE632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Mucho menos si consideramos el siguiente criterio: </w:t>
      </w:r>
    </w:p>
    <w:p w:rsidR="00FE6326" w:rsidRPr="00FE6326" w:rsidRDefault="00FE6326" w:rsidP="00FE6326">
      <w:pPr>
        <w:pStyle w:val="Prrafodelista"/>
        <w:spacing w:after="0" w:line="240" w:lineRule="auto"/>
        <w:rPr>
          <w:rFonts w:ascii="Palatino Linotype" w:hAnsi="Palatino Linotype" w:cs="Arial"/>
          <w:sz w:val="6"/>
          <w:szCs w:val="24"/>
        </w:rPr>
      </w:pPr>
    </w:p>
    <w:p w:rsidR="0046491C" w:rsidRPr="009A5396" w:rsidRDefault="0046491C" w:rsidP="00166140">
      <w:pPr>
        <w:spacing w:after="240" w:line="276" w:lineRule="auto"/>
        <w:ind w:left="567" w:right="616"/>
        <w:jc w:val="both"/>
        <w:rPr>
          <w:rFonts w:ascii="Palatino Linotype" w:hAnsi="Palatino Linotype" w:cs="Arial"/>
          <w:sz w:val="24"/>
          <w:szCs w:val="24"/>
        </w:rPr>
      </w:pPr>
      <w:r w:rsidRPr="00FE6326">
        <w:rPr>
          <w:rFonts w:ascii="Palatino Linotype" w:hAnsi="Palatino Linotype" w:cs="Arial"/>
          <w:i/>
        </w:rPr>
        <w:t xml:space="preserve">DERECHOS HUMANOS. OBLIGACIÓN DE PROTEGERLOS EN TÉRMINOS DEL ARTÍCULO </w:t>
      </w:r>
      <w:proofErr w:type="spellStart"/>
      <w:r w:rsidRPr="00FE6326">
        <w:rPr>
          <w:rFonts w:ascii="Palatino Linotype" w:hAnsi="Palatino Linotype" w:cs="Arial"/>
          <w:i/>
        </w:rPr>
        <w:t>1o</w:t>
      </w:r>
      <w:proofErr w:type="spellEnd"/>
      <w:r w:rsidRPr="00FE6326">
        <w:rPr>
          <w:rFonts w:ascii="Palatino Linotype" w:hAnsi="Palatino Linotype" w:cs="Arial"/>
          <w:i/>
        </w:rPr>
        <w:t xml:space="preserve">., PÁRRAFO TERCERO, DE LA CONSTITUCIÓN POLÍTICA </w:t>
      </w:r>
      <w:r w:rsidRPr="00FE6326">
        <w:rPr>
          <w:rFonts w:ascii="Palatino Linotype" w:hAnsi="Palatino Linotype" w:cs="Arial"/>
          <w:i/>
        </w:rPr>
        <w:lastRenderedPageBreak/>
        <w:t xml:space="preserve">DE LOS ESTADOS UNIDOS MEXICANOS. El párrafo tercero del artículo </w:t>
      </w:r>
      <w:proofErr w:type="spellStart"/>
      <w:r w:rsidRPr="00FE6326">
        <w:rPr>
          <w:rFonts w:ascii="Palatino Linotype" w:hAnsi="Palatino Linotype" w:cs="Arial"/>
          <w:i/>
        </w:rPr>
        <w:t>1o</w:t>
      </w:r>
      <w:proofErr w:type="spellEnd"/>
      <w:r w:rsidRPr="00FE6326">
        <w:rPr>
          <w:rFonts w:ascii="Palatino Linotype" w:hAnsi="Palatino Linotype" w:cs="Arial"/>
          <w:i/>
        </w:rPr>
        <w:t xml:space="preserve">.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FE6326">
        <w:rPr>
          <w:rFonts w:ascii="Palatino Linotype" w:hAnsi="Palatino Linotype" w:cs="Arial"/>
          <w:b/>
          <w:i/>
        </w:rPr>
        <w:t>el deber que tienen los órganos del Estado, dentro del margen de sus atribuciones, de prevenir violaciones a los derechos fundamentales,</w:t>
      </w:r>
      <w:r w:rsidRPr="00FE6326">
        <w:rPr>
          <w:rFonts w:ascii="Palatino Linotype" w:hAnsi="Palatino Linotype" w:cs="Arial"/>
          <w:i/>
        </w:rPr>
        <w:t xml:space="preserve"> ya sea que provengan de una autoridad o de algún particular y, por ello, </w:t>
      </w:r>
      <w:r w:rsidRPr="00FE6326">
        <w:rPr>
          <w:rFonts w:ascii="Palatino Linotype" w:hAnsi="Palatino Linotype" w:cs="Arial"/>
          <w:b/>
          <w:i/>
        </w:rPr>
        <w:t>debe contarse</w:t>
      </w:r>
      <w:r w:rsidRPr="00FE6326">
        <w:rPr>
          <w:rFonts w:ascii="Palatino Linotype" w:hAnsi="Palatino Linotype" w:cs="Arial"/>
          <w:i/>
        </w:rPr>
        <w:t xml:space="preserve"> tanto </w:t>
      </w:r>
      <w:r w:rsidRPr="00FE6326">
        <w:rPr>
          <w:rFonts w:ascii="Palatino Linotype" w:hAnsi="Palatino Linotype" w:cs="Arial"/>
          <w:b/>
          <w:i/>
        </w:rPr>
        <w:t>con mecanismos</w:t>
      </w:r>
      <w:r w:rsidRPr="00FE6326">
        <w:rPr>
          <w:rFonts w:ascii="Palatino Linotype" w:hAnsi="Palatino Linotype" w:cs="Arial"/>
          <w:i/>
        </w:rPr>
        <w:t xml:space="preserve"> de vigilancia como </w:t>
      </w:r>
      <w:r w:rsidRPr="00FE6326">
        <w:rPr>
          <w:rFonts w:ascii="Palatino Linotype" w:hAnsi="Palatino Linotype" w:cs="Arial"/>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FE6326">
        <w:rPr>
          <w:rFonts w:ascii="Palatino Linotype" w:hAnsi="Palatino Linotype" w:cs="Arial"/>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w:t>
      </w:r>
      <w:proofErr w:type="spellStart"/>
      <w:r w:rsidRPr="00FE6326">
        <w:rPr>
          <w:rFonts w:ascii="Palatino Linotype" w:hAnsi="Palatino Linotype" w:cs="Arial"/>
          <w:i/>
        </w:rPr>
        <w:t>XXVII.3o.3</w:t>
      </w:r>
      <w:proofErr w:type="spellEnd"/>
      <w:r w:rsidRPr="00FE6326">
        <w:rPr>
          <w:rFonts w:ascii="Palatino Linotype" w:hAnsi="Palatino Linotype" w:cs="Arial"/>
          <w:i/>
        </w:rPr>
        <w:t xml:space="preserve"> CS (</w:t>
      </w:r>
      <w:proofErr w:type="spellStart"/>
      <w:r w:rsidRPr="00FE6326">
        <w:rPr>
          <w:rFonts w:ascii="Palatino Linotype" w:hAnsi="Palatino Linotype" w:cs="Arial"/>
          <w:i/>
        </w:rPr>
        <w:t>10a</w:t>
      </w:r>
      <w:proofErr w:type="spellEnd"/>
      <w:r w:rsidRPr="00FE6326">
        <w:rPr>
          <w:rFonts w:ascii="Palatino Linotype" w:hAnsi="Palatino Linotype" w:cs="Arial"/>
          <w:i/>
        </w:rPr>
        <w:t>.) Tribunales Colegiados de Circuito. Décima Época, Gaceta del Semanario Judicial de la Federación, Libro 11, Octubre de 2014, Tomo III, Página: 2840</w:t>
      </w:r>
      <w:r w:rsidRPr="009A5396">
        <w:rPr>
          <w:rFonts w:ascii="Palatino Linotype" w:hAnsi="Palatino Linotype" w:cs="Arial"/>
          <w:sz w:val="24"/>
          <w:szCs w:val="24"/>
        </w:rPr>
        <w:t>.</w:t>
      </w:r>
    </w:p>
    <w:p w:rsidR="0046491C" w:rsidRPr="00166140" w:rsidRDefault="0046491C" w:rsidP="00166140">
      <w:pPr>
        <w:pStyle w:val="Prrafodelista"/>
        <w:spacing w:after="0" w:line="240" w:lineRule="auto"/>
        <w:ind w:left="426"/>
        <w:jc w:val="both"/>
        <w:rPr>
          <w:rFonts w:ascii="Palatino Linotype" w:hAnsi="Palatino Linotype" w:cs="Arial"/>
          <w:sz w:val="12"/>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9A5396">
        <w:rPr>
          <w:rFonts w:ascii="Palatino Linotype" w:hAnsi="Palatino Linotype" w:cs="Arial"/>
          <w:b/>
          <w:sz w:val="24"/>
          <w:szCs w:val="24"/>
        </w:rPr>
        <w:lastRenderedPageBreak/>
        <w:t>SUJETOS OBLIGADOS</w:t>
      </w:r>
      <w:r w:rsidRPr="009A5396">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D1692" w:rsidRDefault="00DF6F7E" w:rsidP="00FE6326">
      <w:pPr>
        <w:pStyle w:val="Prrafodelista"/>
        <w:spacing w:line="240" w:lineRule="auto"/>
        <w:rPr>
          <w:rFonts w:ascii="Palatino Linotype" w:hAnsi="Palatino Linotype" w:cs="Arial"/>
          <w:sz w:val="24"/>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166140" w:rsidRDefault="0001046D" w:rsidP="00166140">
      <w:pPr>
        <w:pStyle w:val="Prrafodelista"/>
        <w:spacing w:after="0" w:line="240" w:lineRule="auto"/>
        <w:ind w:left="284"/>
        <w:jc w:val="both"/>
        <w:rPr>
          <w:rFonts w:ascii="Palatino Linotype" w:hAnsi="Palatino Linotype" w:cs="Arial"/>
          <w:sz w:val="14"/>
          <w:szCs w:val="24"/>
        </w:rPr>
      </w:pPr>
    </w:p>
    <w:p w:rsidR="009156AC" w:rsidRPr="00072966" w:rsidRDefault="0046491C" w:rsidP="00166140">
      <w:pPr>
        <w:spacing w:after="240" w:line="276" w:lineRule="auto"/>
        <w:ind w:left="567" w:right="616"/>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46491C" w:rsidRPr="00043805" w:rsidRDefault="0046491C" w:rsidP="00166140">
      <w:pPr>
        <w:pStyle w:val="Prrafodelista"/>
        <w:numPr>
          <w:ilvl w:val="0"/>
          <w:numId w:val="1"/>
        </w:numPr>
        <w:spacing w:after="0" w:line="360" w:lineRule="auto"/>
        <w:ind w:left="0" w:right="-93" w:firstLine="0"/>
        <w:jc w:val="both"/>
        <w:rPr>
          <w:rFonts w:ascii="Palatino Linotype" w:hAnsi="Palatino Linotype" w:cs="Arial"/>
          <w:szCs w:val="24"/>
        </w:rPr>
      </w:pPr>
      <w:r w:rsidRPr="00072966">
        <w:rPr>
          <w:rFonts w:ascii="Palatino Linotype" w:hAnsi="Palatino Linotype" w:cs="Arial"/>
          <w:sz w:val="24"/>
          <w:szCs w:val="24"/>
        </w:rPr>
        <w:lastRenderedPageBreak/>
        <w:t xml:space="preserve"> </w:t>
      </w:r>
      <w:r w:rsidRPr="009A5396">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FE6326">
      <w:pPr>
        <w:pStyle w:val="Prrafodelista"/>
        <w:spacing w:after="0" w:line="240" w:lineRule="auto"/>
        <w:ind w:left="426"/>
        <w:jc w:val="both"/>
        <w:rPr>
          <w:rFonts w:ascii="Palatino Linotype" w:hAnsi="Palatino Linotype" w:cs="Arial"/>
          <w:sz w:val="24"/>
          <w:szCs w:val="24"/>
        </w:rPr>
      </w:pPr>
    </w:p>
    <w:p w:rsidR="00166140"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w:t>
      </w:r>
    </w:p>
    <w:p w:rsidR="00166140" w:rsidRPr="00166140" w:rsidRDefault="00166140" w:rsidP="00166140">
      <w:pPr>
        <w:pStyle w:val="Prrafodelista"/>
        <w:spacing w:line="240" w:lineRule="auto"/>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Además de ser un Órgano Garante, somos un Órgano Revisor y en ese sentido no podemos pasar inadvertido el hecho de no analizar la totalidad de requerimientos </w:t>
      </w:r>
      <w:r w:rsidRPr="00072966">
        <w:rPr>
          <w:rFonts w:ascii="Palatino Linotype" w:hAnsi="Palatino Linotype" w:cs="Arial"/>
          <w:sz w:val="24"/>
          <w:szCs w:val="24"/>
        </w:rPr>
        <w:lastRenderedPageBreak/>
        <w:t>solicitados cuando no se pronuncien al respecto, cuando sea evidente que no han sido colmados, en ese sentido no estaríamos garantizando el derecho fundamental.</w:t>
      </w:r>
    </w:p>
    <w:p w:rsidR="00DF6F7E" w:rsidRPr="00072966" w:rsidRDefault="00DF6F7E" w:rsidP="00FE6326">
      <w:pPr>
        <w:pStyle w:val="Prrafodelista"/>
        <w:spacing w:line="240" w:lineRule="auto"/>
        <w:jc w:val="both"/>
        <w:rPr>
          <w:rFonts w:ascii="Palatino Linotype" w:hAnsi="Palatino Linotype" w:cs="Arial"/>
          <w:sz w:val="24"/>
          <w:szCs w:val="24"/>
        </w:rPr>
      </w:pPr>
    </w:p>
    <w:p w:rsidR="0046491C"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166140" w:rsidRDefault="00166140" w:rsidP="00702BD9">
      <w:pPr>
        <w:pStyle w:val="Prrafodelista"/>
        <w:spacing w:after="0" w:line="360" w:lineRule="auto"/>
        <w:ind w:left="426"/>
        <w:jc w:val="both"/>
        <w:rPr>
          <w:rFonts w:ascii="Palatino Linotype" w:hAnsi="Palatino Linotype" w:cs="Arial"/>
          <w:sz w:val="24"/>
          <w:szCs w:val="24"/>
        </w:rPr>
      </w:pPr>
    </w:p>
    <w:p w:rsidR="00166140" w:rsidRDefault="00166140" w:rsidP="00702BD9">
      <w:pPr>
        <w:pStyle w:val="Prrafodelista"/>
        <w:spacing w:after="0" w:line="360" w:lineRule="auto"/>
        <w:ind w:left="426"/>
        <w:jc w:val="both"/>
        <w:rPr>
          <w:rFonts w:ascii="Palatino Linotype" w:hAnsi="Palatino Linotype" w:cs="Arial"/>
          <w:sz w:val="24"/>
          <w:szCs w:val="24"/>
        </w:rPr>
      </w:pPr>
    </w:p>
    <w:p w:rsidR="00166140" w:rsidRPr="00072966" w:rsidRDefault="00166140"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COMISIONADO</w:t>
      </w:r>
    </w:p>
    <w:p w:rsidR="00166140" w:rsidRDefault="00166140" w:rsidP="00E34F08">
      <w:pPr>
        <w:spacing w:line="360" w:lineRule="auto"/>
        <w:jc w:val="center"/>
        <w:rPr>
          <w:rFonts w:ascii="Palatino Linotype" w:hAnsi="Palatino Linotype"/>
          <w:b/>
          <w:sz w:val="24"/>
          <w:szCs w:val="24"/>
        </w:rPr>
      </w:pPr>
      <w:bookmarkStart w:id="3" w:name="_GoBack"/>
      <w:bookmarkEnd w:id="3"/>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p>
    <w:p w:rsidR="00166140" w:rsidRPr="00072966" w:rsidRDefault="00166140" w:rsidP="00E34F08">
      <w:pPr>
        <w:spacing w:line="360" w:lineRule="auto"/>
        <w:jc w:val="center"/>
        <w:rPr>
          <w:rFonts w:ascii="Palatino Linotype" w:hAnsi="Palatino Linotype"/>
          <w:b/>
          <w:sz w:val="24"/>
          <w:szCs w:val="24"/>
        </w:rPr>
      </w:pPr>
    </w:p>
    <w:p w:rsidR="00575478" w:rsidRPr="00166140" w:rsidRDefault="0099266A" w:rsidP="00575478">
      <w:pPr>
        <w:spacing w:line="360" w:lineRule="auto"/>
        <w:rPr>
          <w:rFonts w:ascii="Palatino Linotype" w:hAnsi="Palatino Linotype"/>
          <w:b/>
          <w:sz w:val="18"/>
          <w:szCs w:val="18"/>
        </w:rPr>
      </w:pPr>
      <w:r w:rsidRPr="00166140">
        <w:rPr>
          <w:rFonts w:ascii="Palatino Linotype" w:hAnsi="Palatino Linotype"/>
          <w:b/>
          <w:sz w:val="18"/>
          <w:szCs w:val="18"/>
        </w:rPr>
        <w:t>JGLH/</w:t>
      </w:r>
      <w:r w:rsidR="000D1692">
        <w:rPr>
          <w:rFonts w:ascii="Palatino Linotype" w:hAnsi="Palatino Linotype"/>
          <w:b/>
          <w:sz w:val="18"/>
          <w:szCs w:val="18"/>
        </w:rPr>
        <w:t>MAG</w:t>
      </w:r>
    </w:p>
    <w:sectPr w:rsidR="00575478" w:rsidRPr="00166140" w:rsidSect="005C4833">
      <w:headerReference w:type="even" r:id="rId8"/>
      <w:headerReference w:type="default" r:id="rId9"/>
      <w:footerReference w:type="even" r:id="rId10"/>
      <w:footerReference w:type="default" r:id="rId11"/>
      <w:headerReference w:type="first" r:id="rId12"/>
      <w:footerReference w:type="first" r:id="rId13"/>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9C" w:rsidRDefault="002C7B9C" w:rsidP="00E706DA">
      <w:pPr>
        <w:spacing w:after="0" w:line="240" w:lineRule="auto"/>
      </w:pPr>
      <w:r>
        <w:separator/>
      </w:r>
    </w:p>
  </w:endnote>
  <w:endnote w:type="continuationSeparator" w:id="0">
    <w:p w:rsidR="002C7B9C" w:rsidRDefault="002C7B9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C7B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F16B0">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F16B0">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2C7B9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C7B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9C" w:rsidRDefault="002C7B9C" w:rsidP="00E706DA">
      <w:pPr>
        <w:spacing w:after="0" w:line="240" w:lineRule="auto"/>
      </w:pPr>
      <w:r>
        <w:separator/>
      </w:r>
    </w:p>
  </w:footnote>
  <w:footnote w:type="continuationSeparator" w:id="0">
    <w:p w:rsidR="002C7B9C" w:rsidRDefault="002C7B9C"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w:t>
      </w:r>
      <w:proofErr w:type="spellStart"/>
      <w:r>
        <w:t>COTTA</w:t>
      </w:r>
      <w:proofErr w:type="spellEnd"/>
      <w:r>
        <w:t xml:space="preserve">,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C7B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C7B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C7B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C7B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9637A3"/>
    <w:multiLevelType w:val="hybridMultilevel"/>
    <w:tmpl w:val="41026F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11"/>
  </w:num>
  <w:num w:numId="6">
    <w:abstractNumId w:val="13"/>
  </w:num>
  <w:num w:numId="7">
    <w:abstractNumId w:val="18"/>
  </w:num>
  <w:num w:numId="8">
    <w:abstractNumId w:val="15"/>
  </w:num>
  <w:num w:numId="9">
    <w:abstractNumId w:val="21"/>
  </w:num>
  <w:num w:numId="10">
    <w:abstractNumId w:val="3"/>
  </w:num>
  <w:num w:numId="11">
    <w:abstractNumId w:val="20"/>
  </w:num>
  <w:num w:numId="12">
    <w:abstractNumId w:val="8"/>
  </w:num>
  <w:num w:numId="13">
    <w:abstractNumId w:val="4"/>
  </w:num>
  <w:num w:numId="14">
    <w:abstractNumId w:val="6"/>
  </w:num>
  <w:num w:numId="15">
    <w:abstractNumId w:val="14"/>
  </w:num>
  <w:num w:numId="16">
    <w:abstractNumId w:val="1"/>
  </w:num>
  <w:num w:numId="17">
    <w:abstractNumId w:val="0"/>
  </w:num>
  <w:num w:numId="18">
    <w:abstractNumId w:val="10"/>
  </w:num>
  <w:num w:numId="19">
    <w:abstractNumId w:val="5"/>
  </w:num>
  <w:num w:numId="20">
    <w:abstractNumId w:val="16"/>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51B4"/>
    <w:rsid w:val="000A4B02"/>
    <w:rsid w:val="000A77B5"/>
    <w:rsid w:val="000A7B66"/>
    <w:rsid w:val="000D1692"/>
    <w:rsid w:val="000D1743"/>
    <w:rsid w:val="000E40D7"/>
    <w:rsid w:val="000F6CBB"/>
    <w:rsid w:val="000F7162"/>
    <w:rsid w:val="0010615C"/>
    <w:rsid w:val="001102C3"/>
    <w:rsid w:val="00122625"/>
    <w:rsid w:val="001574EC"/>
    <w:rsid w:val="00166140"/>
    <w:rsid w:val="00194B6A"/>
    <w:rsid w:val="001A51F3"/>
    <w:rsid w:val="001C545F"/>
    <w:rsid w:val="001C62B2"/>
    <w:rsid w:val="001D3F34"/>
    <w:rsid w:val="001E0928"/>
    <w:rsid w:val="0020315F"/>
    <w:rsid w:val="002036ED"/>
    <w:rsid w:val="00214EC5"/>
    <w:rsid w:val="00225026"/>
    <w:rsid w:val="00242A80"/>
    <w:rsid w:val="00260D6C"/>
    <w:rsid w:val="002620E9"/>
    <w:rsid w:val="00281310"/>
    <w:rsid w:val="002C1F75"/>
    <w:rsid w:val="002C7B9C"/>
    <w:rsid w:val="002D6857"/>
    <w:rsid w:val="002E1956"/>
    <w:rsid w:val="00333DB9"/>
    <w:rsid w:val="00343601"/>
    <w:rsid w:val="00346358"/>
    <w:rsid w:val="00346DBD"/>
    <w:rsid w:val="00347624"/>
    <w:rsid w:val="00367E00"/>
    <w:rsid w:val="003705BB"/>
    <w:rsid w:val="003747A5"/>
    <w:rsid w:val="00386688"/>
    <w:rsid w:val="00393E96"/>
    <w:rsid w:val="003C4F79"/>
    <w:rsid w:val="003D7B9E"/>
    <w:rsid w:val="00412952"/>
    <w:rsid w:val="00424DE3"/>
    <w:rsid w:val="00444048"/>
    <w:rsid w:val="00452F18"/>
    <w:rsid w:val="0046491C"/>
    <w:rsid w:val="00471ACB"/>
    <w:rsid w:val="0048490F"/>
    <w:rsid w:val="004C6BBF"/>
    <w:rsid w:val="00525DF2"/>
    <w:rsid w:val="00532410"/>
    <w:rsid w:val="00575478"/>
    <w:rsid w:val="005A3267"/>
    <w:rsid w:val="005C4833"/>
    <w:rsid w:val="005D4F74"/>
    <w:rsid w:val="005F6A90"/>
    <w:rsid w:val="00634736"/>
    <w:rsid w:val="00643C7E"/>
    <w:rsid w:val="0065467C"/>
    <w:rsid w:val="006728FD"/>
    <w:rsid w:val="00684F14"/>
    <w:rsid w:val="0069498B"/>
    <w:rsid w:val="006D268B"/>
    <w:rsid w:val="007014AE"/>
    <w:rsid w:val="00702BD9"/>
    <w:rsid w:val="0071343D"/>
    <w:rsid w:val="00717C0D"/>
    <w:rsid w:val="0072136B"/>
    <w:rsid w:val="0076241F"/>
    <w:rsid w:val="00770016"/>
    <w:rsid w:val="00790E37"/>
    <w:rsid w:val="007A7FAD"/>
    <w:rsid w:val="007C43FB"/>
    <w:rsid w:val="007D1488"/>
    <w:rsid w:val="00814E97"/>
    <w:rsid w:val="00817341"/>
    <w:rsid w:val="0082452E"/>
    <w:rsid w:val="008361CA"/>
    <w:rsid w:val="008460C4"/>
    <w:rsid w:val="00847389"/>
    <w:rsid w:val="00850252"/>
    <w:rsid w:val="00856FA1"/>
    <w:rsid w:val="008702E8"/>
    <w:rsid w:val="008822B3"/>
    <w:rsid w:val="008858F1"/>
    <w:rsid w:val="008911CF"/>
    <w:rsid w:val="008977B4"/>
    <w:rsid w:val="008B03B6"/>
    <w:rsid w:val="008E1DCC"/>
    <w:rsid w:val="008F3E81"/>
    <w:rsid w:val="00900E75"/>
    <w:rsid w:val="00902248"/>
    <w:rsid w:val="00911472"/>
    <w:rsid w:val="009156AC"/>
    <w:rsid w:val="00927C4F"/>
    <w:rsid w:val="00937AD9"/>
    <w:rsid w:val="00937D7D"/>
    <w:rsid w:val="0094239C"/>
    <w:rsid w:val="00950792"/>
    <w:rsid w:val="0099266A"/>
    <w:rsid w:val="009A3355"/>
    <w:rsid w:val="009A5396"/>
    <w:rsid w:val="009C4EF6"/>
    <w:rsid w:val="009D0B69"/>
    <w:rsid w:val="009D2892"/>
    <w:rsid w:val="009E3A26"/>
    <w:rsid w:val="00A043A9"/>
    <w:rsid w:val="00A626F8"/>
    <w:rsid w:val="00A63717"/>
    <w:rsid w:val="00AA49F3"/>
    <w:rsid w:val="00AB023D"/>
    <w:rsid w:val="00AB126B"/>
    <w:rsid w:val="00AC381E"/>
    <w:rsid w:val="00AE4797"/>
    <w:rsid w:val="00AE5BD5"/>
    <w:rsid w:val="00B120CA"/>
    <w:rsid w:val="00B62245"/>
    <w:rsid w:val="00B72063"/>
    <w:rsid w:val="00B8686D"/>
    <w:rsid w:val="00B951FF"/>
    <w:rsid w:val="00BC7B0C"/>
    <w:rsid w:val="00BE7EDC"/>
    <w:rsid w:val="00BF2070"/>
    <w:rsid w:val="00BF3534"/>
    <w:rsid w:val="00C3709F"/>
    <w:rsid w:val="00C41CE1"/>
    <w:rsid w:val="00C7250F"/>
    <w:rsid w:val="00C872FA"/>
    <w:rsid w:val="00C901A6"/>
    <w:rsid w:val="00CE0823"/>
    <w:rsid w:val="00CF2F92"/>
    <w:rsid w:val="00CF52FE"/>
    <w:rsid w:val="00D1242B"/>
    <w:rsid w:val="00D15396"/>
    <w:rsid w:val="00D23B79"/>
    <w:rsid w:val="00D33AF9"/>
    <w:rsid w:val="00D363F7"/>
    <w:rsid w:val="00D5296C"/>
    <w:rsid w:val="00D72985"/>
    <w:rsid w:val="00D7508B"/>
    <w:rsid w:val="00D87CE2"/>
    <w:rsid w:val="00DB7D4E"/>
    <w:rsid w:val="00DD7431"/>
    <w:rsid w:val="00DF16B0"/>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E6326"/>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166140"/>
    <w:pPr>
      <w:tabs>
        <w:tab w:val="left" w:pos="440"/>
        <w:tab w:val="right" w:leader="dot" w:pos="8828"/>
      </w:tabs>
      <w:spacing w:after="100" w:line="48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CB71-0BCF-4201-B9F2-2C743F8F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3369</Words>
  <Characters>18533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marianna .A.</cp:lastModifiedBy>
  <cp:revision>6</cp:revision>
  <cp:lastPrinted>2019-01-28T15:53:00Z</cp:lastPrinted>
  <dcterms:created xsi:type="dcterms:W3CDTF">2019-01-25T00:43:00Z</dcterms:created>
  <dcterms:modified xsi:type="dcterms:W3CDTF">2019-01-28T15:57:00Z</dcterms:modified>
</cp:coreProperties>
</file>